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F8" w:rsidRPr="00D80E85" w:rsidRDefault="00D1525D" w:rsidP="00B51104">
      <w:pPr>
        <w:jc w:val="center"/>
        <w:rPr>
          <w:b/>
        </w:rPr>
      </w:pPr>
      <w:r w:rsidRPr="00D80E85">
        <w:rPr>
          <w:b/>
        </w:rPr>
        <w:t xml:space="preserve">FACTRS </w:t>
      </w:r>
      <w:r w:rsidR="00B51104" w:rsidRPr="00D80E85">
        <w:rPr>
          <w:b/>
        </w:rPr>
        <w:t>Listening Session</w:t>
      </w:r>
      <w:r w:rsidR="00D80E85" w:rsidRPr="00D80E85">
        <w:rPr>
          <w:b/>
        </w:rPr>
        <w:t>: Food for Peace Programs and Conflict Sensitivity</w:t>
      </w:r>
    </w:p>
    <w:p w:rsidR="00470FCB" w:rsidRPr="00D80E85" w:rsidRDefault="00D80E85" w:rsidP="00D80E85">
      <w:pPr>
        <w:jc w:val="center"/>
        <w:rPr>
          <w:b/>
        </w:rPr>
      </w:pPr>
      <w:r w:rsidRPr="00D80E85">
        <w:rPr>
          <w:b/>
        </w:rPr>
        <w:t>Agenda</w:t>
      </w:r>
    </w:p>
    <w:p w:rsidR="002A05E2" w:rsidRPr="00D80E85" w:rsidRDefault="002A05E2" w:rsidP="00D80E85">
      <w:pPr>
        <w:pBdr>
          <w:top w:val="single" w:sz="4" w:space="1" w:color="auto"/>
        </w:pBdr>
        <w:spacing w:after="120"/>
        <w:rPr>
          <w:b/>
        </w:rPr>
      </w:pPr>
      <w:r w:rsidRPr="00D80E85">
        <w:rPr>
          <w:b/>
        </w:rPr>
        <w:t>Purpose</w:t>
      </w:r>
    </w:p>
    <w:p w:rsidR="002A05E2" w:rsidRDefault="00B51104" w:rsidP="002A05E2">
      <w:pPr>
        <w:pStyle w:val="ListParagraph"/>
        <w:numPr>
          <w:ilvl w:val="0"/>
          <w:numId w:val="6"/>
        </w:numPr>
      </w:pPr>
      <w:r>
        <w:t xml:space="preserve">To reflect on </w:t>
      </w:r>
      <w:r w:rsidR="00470FCB">
        <w:t xml:space="preserve">how FFP’s implementing partners currently integrate conflict sensitivity </w:t>
      </w:r>
      <w:r w:rsidR="002A05E2">
        <w:t xml:space="preserve">and other conflict response </w:t>
      </w:r>
      <w:r w:rsidR="00470FCB">
        <w:t xml:space="preserve">into their emergency and development programming. </w:t>
      </w:r>
    </w:p>
    <w:p w:rsidR="00B51104" w:rsidRDefault="00470FCB" w:rsidP="00D80E85">
      <w:pPr>
        <w:pStyle w:val="ListParagraph"/>
        <w:numPr>
          <w:ilvl w:val="0"/>
          <w:numId w:val="6"/>
        </w:numPr>
        <w:pBdr>
          <w:bottom w:val="single" w:sz="4" w:space="1" w:color="auto"/>
        </w:pBdr>
      </w:pPr>
      <w:r>
        <w:t xml:space="preserve">To </w:t>
      </w:r>
      <w:r w:rsidR="002A05E2">
        <w:t xml:space="preserve">inform discussions regarding FFP’s place on the conflict response and peacebuilding spectrum.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920"/>
      </w:tblGrid>
      <w:tr w:rsidR="00D80E85" w:rsidTr="00D80E85">
        <w:tc>
          <w:tcPr>
            <w:tcW w:w="1548" w:type="dxa"/>
          </w:tcPr>
          <w:p w:rsidR="00D80E85" w:rsidRPr="00D1525D" w:rsidRDefault="00D80E85" w:rsidP="000C4738">
            <w:pPr>
              <w:spacing w:after="120"/>
              <w:rPr>
                <w:b/>
              </w:rPr>
            </w:pPr>
            <w:r w:rsidRPr="00D1525D">
              <w:rPr>
                <w:b/>
              </w:rPr>
              <w:t>Time</w:t>
            </w:r>
          </w:p>
        </w:tc>
        <w:tc>
          <w:tcPr>
            <w:tcW w:w="7920" w:type="dxa"/>
          </w:tcPr>
          <w:p w:rsidR="00D80E85" w:rsidRPr="00D1525D" w:rsidRDefault="00D80E85" w:rsidP="000C4738">
            <w:pPr>
              <w:spacing w:after="120"/>
              <w:rPr>
                <w:b/>
              </w:rPr>
            </w:pPr>
            <w:r w:rsidRPr="00D1525D">
              <w:rPr>
                <w:b/>
              </w:rPr>
              <w:t>Session</w:t>
            </w:r>
          </w:p>
        </w:tc>
      </w:tr>
      <w:tr w:rsidR="00D80E85" w:rsidTr="00D80E85">
        <w:tc>
          <w:tcPr>
            <w:tcW w:w="1548" w:type="dxa"/>
          </w:tcPr>
          <w:p w:rsidR="00D80E85" w:rsidRDefault="00D80E85" w:rsidP="000C4738">
            <w:pPr>
              <w:spacing w:after="120"/>
            </w:pPr>
            <w:r>
              <w:t>9:00 – 9:15</w:t>
            </w:r>
          </w:p>
        </w:tc>
        <w:tc>
          <w:tcPr>
            <w:tcW w:w="7920" w:type="dxa"/>
          </w:tcPr>
          <w:p w:rsidR="00D80E85" w:rsidRDefault="00D80E85" w:rsidP="00D80E85">
            <w:r>
              <w:t>Welcome and purpose; introduction of FACTRS</w:t>
            </w:r>
          </w:p>
        </w:tc>
      </w:tr>
      <w:tr w:rsidR="00D80E85" w:rsidTr="00D80E85">
        <w:tc>
          <w:tcPr>
            <w:tcW w:w="1548" w:type="dxa"/>
          </w:tcPr>
          <w:p w:rsidR="00D80E85" w:rsidRDefault="00D80E85" w:rsidP="000C4738">
            <w:pPr>
              <w:spacing w:after="120"/>
            </w:pPr>
            <w:r>
              <w:t>9:15 – 9:45</w:t>
            </w:r>
          </w:p>
        </w:tc>
        <w:tc>
          <w:tcPr>
            <w:tcW w:w="7920" w:type="dxa"/>
          </w:tcPr>
          <w:p w:rsidR="00D80E85" w:rsidRDefault="002407F3" w:rsidP="002407F3">
            <w:r>
              <w:t>Presentation: Typologies of conflict situations</w:t>
            </w:r>
            <w:r>
              <w:t xml:space="preserve"> </w:t>
            </w:r>
          </w:p>
        </w:tc>
      </w:tr>
      <w:tr w:rsidR="00D80E85" w:rsidTr="00D80E85">
        <w:tc>
          <w:tcPr>
            <w:tcW w:w="1548" w:type="dxa"/>
          </w:tcPr>
          <w:p w:rsidR="00D80E85" w:rsidRDefault="00D80E85" w:rsidP="000C4738">
            <w:pPr>
              <w:spacing w:after="120"/>
            </w:pPr>
            <w:r>
              <w:t>9:45 – 10:15</w:t>
            </w:r>
          </w:p>
        </w:tc>
        <w:tc>
          <w:tcPr>
            <w:tcW w:w="7920" w:type="dxa"/>
          </w:tcPr>
          <w:p w:rsidR="00D80E85" w:rsidRDefault="002407F3" w:rsidP="00D80E85">
            <w:r>
              <w:t>Presentation: Overview of conflict sensitivity and the conflict response and peacebuilding spectrum</w:t>
            </w:r>
          </w:p>
        </w:tc>
      </w:tr>
      <w:tr w:rsidR="00D80E85" w:rsidTr="00D80E85">
        <w:tc>
          <w:tcPr>
            <w:tcW w:w="1548" w:type="dxa"/>
          </w:tcPr>
          <w:p w:rsidR="00D80E85" w:rsidRDefault="00D80E85" w:rsidP="000C4738">
            <w:pPr>
              <w:spacing w:after="120"/>
            </w:pPr>
            <w:r>
              <w:t>10:15 – 11:15</w:t>
            </w:r>
          </w:p>
        </w:tc>
        <w:tc>
          <w:tcPr>
            <w:tcW w:w="7920" w:type="dxa"/>
          </w:tcPr>
          <w:p w:rsidR="00D80E85" w:rsidRDefault="00D80E85" w:rsidP="00D80E85">
            <w:pPr>
              <w:spacing w:after="120"/>
            </w:pPr>
            <w:r>
              <w:t>Small groups: To discuss examples of FFP-funded emergency and development programs working in/on conflict contexts. Participants should discuss specific examples from their organizations.</w:t>
            </w:r>
          </w:p>
          <w:p w:rsidR="00D80E85" w:rsidRDefault="00D80E85" w:rsidP="00D80E85">
            <w:pPr>
              <w:pStyle w:val="ListParagraph"/>
              <w:numPr>
                <w:ilvl w:val="0"/>
                <w:numId w:val="4"/>
              </w:numPr>
              <w:spacing w:after="120"/>
              <w:ind w:left="342"/>
              <w:contextualSpacing w:val="0"/>
            </w:pPr>
            <w:r>
              <w:t xml:space="preserve">How are your organizations’ FFP-funded programs designed and implemented to respond to conflict contexts? Please provide specific examples. </w:t>
            </w:r>
          </w:p>
          <w:p w:rsidR="00D80E85" w:rsidRDefault="00D80E85" w:rsidP="00D80E85">
            <w:pPr>
              <w:pStyle w:val="ListParagraph"/>
              <w:numPr>
                <w:ilvl w:val="0"/>
                <w:numId w:val="4"/>
              </w:numPr>
              <w:spacing w:after="120"/>
              <w:ind w:left="342"/>
              <w:contextualSpacing w:val="0"/>
            </w:pPr>
            <w:r>
              <w:t xml:space="preserve">By designing and implementing your programs in this way, what is your organization trying to achieve in terms of the programs’ effects on conflict? Are you trying to avoid negative impacts on conflict, address local conflict dynamics, </w:t>
            </w:r>
            <w:proofErr w:type="gramStart"/>
            <w:r>
              <w:t>positively</w:t>
            </w:r>
            <w:proofErr w:type="gramEnd"/>
            <w:r>
              <w:t xml:space="preserve"> affect drivers of conflict? Please provide specific examples. </w:t>
            </w:r>
          </w:p>
          <w:p w:rsidR="00D80E85" w:rsidRDefault="00D80E85" w:rsidP="00D80E85">
            <w:pPr>
              <w:pStyle w:val="ListParagraph"/>
              <w:numPr>
                <w:ilvl w:val="0"/>
                <w:numId w:val="4"/>
              </w:numPr>
              <w:spacing w:after="120"/>
              <w:ind w:left="342"/>
              <w:contextualSpacing w:val="0"/>
            </w:pPr>
            <w:r>
              <w:t>Please describe some specific program successes related to their interactions with the conflict contexts. What made these successes possible? (opportunities)</w:t>
            </w:r>
          </w:p>
          <w:p w:rsidR="00D80E85" w:rsidRDefault="00D80E85" w:rsidP="00D80E85">
            <w:pPr>
              <w:pStyle w:val="ListParagraph"/>
              <w:numPr>
                <w:ilvl w:val="0"/>
                <w:numId w:val="4"/>
              </w:numPr>
              <w:ind w:left="342"/>
              <w:contextualSpacing w:val="0"/>
            </w:pPr>
            <w:r>
              <w:t>What obstacles do these programs face in achieving their aims as related to the conflict contexts? And how do you respond to those? What else do you need? (gaps)</w:t>
            </w:r>
          </w:p>
        </w:tc>
      </w:tr>
      <w:tr w:rsidR="00D80E85" w:rsidTr="00D80E85">
        <w:tc>
          <w:tcPr>
            <w:tcW w:w="1548" w:type="dxa"/>
          </w:tcPr>
          <w:p w:rsidR="00D80E85" w:rsidRDefault="00D80E85" w:rsidP="000C4738">
            <w:pPr>
              <w:spacing w:after="120"/>
            </w:pPr>
            <w:r>
              <w:t>11:15 – 11:30</w:t>
            </w:r>
          </w:p>
        </w:tc>
        <w:tc>
          <w:tcPr>
            <w:tcW w:w="7920" w:type="dxa"/>
          </w:tcPr>
          <w:p w:rsidR="00D80E85" w:rsidRDefault="00D80E85" w:rsidP="00D80E85">
            <w:pPr>
              <w:jc w:val="center"/>
            </w:pPr>
            <w:r>
              <w:t>BREAK</w:t>
            </w:r>
          </w:p>
        </w:tc>
      </w:tr>
    </w:tbl>
    <w:p w:rsidR="00D80E85" w:rsidRDefault="00D80E8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920"/>
      </w:tblGrid>
      <w:tr w:rsidR="00D80E85" w:rsidTr="00D80E85">
        <w:tc>
          <w:tcPr>
            <w:tcW w:w="1548" w:type="dxa"/>
          </w:tcPr>
          <w:p w:rsidR="00D80E85" w:rsidRDefault="00D80E85" w:rsidP="005200C0">
            <w:pPr>
              <w:spacing w:after="120"/>
            </w:pPr>
            <w:r>
              <w:lastRenderedPageBreak/>
              <w:t>11:30 – 12:15</w:t>
            </w:r>
          </w:p>
        </w:tc>
        <w:tc>
          <w:tcPr>
            <w:tcW w:w="7920" w:type="dxa"/>
          </w:tcPr>
          <w:p w:rsidR="00D80E85" w:rsidRDefault="00D80E85" w:rsidP="00D80E85">
            <w:pPr>
              <w:spacing w:after="120"/>
            </w:pPr>
            <w:r>
              <w:t>Gallery Walk and Discussion</w:t>
            </w:r>
          </w:p>
          <w:p w:rsidR="00D80E85" w:rsidRDefault="00D80E85" w:rsidP="00D80E85">
            <w:pPr>
              <w:pStyle w:val="ListParagraph"/>
              <w:numPr>
                <w:ilvl w:val="0"/>
                <w:numId w:val="5"/>
              </w:numPr>
              <w:spacing w:after="120"/>
              <w:contextualSpacing w:val="0"/>
            </w:pPr>
            <w:r>
              <w:t>Where do current FFP-funded programs fit in the conflict response and peacebuilding spectrum?</w:t>
            </w:r>
          </w:p>
          <w:p w:rsidR="00D80E85" w:rsidRDefault="00D80E85" w:rsidP="00D80E85">
            <w:pPr>
              <w:pStyle w:val="ListParagraph"/>
              <w:numPr>
                <w:ilvl w:val="0"/>
                <w:numId w:val="5"/>
              </w:numPr>
              <w:spacing w:after="120"/>
              <w:contextualSpacing w:val="0"/>
            </w:pPr>
            <w:r>
              <w:t xml:space="preserve">What kinds of conflict-related successes are typical among the FFP-funded programs we’ve discussed today? What factors have made those successes possible? </w:t>
            </w:r>
          </w:p>
          <w:p w:rsidR="00D80E85" w:rsidRDefault="00D80E85" w:rsidP="00D80E85">
            <w:pPr>
              <w:pStyle w:val="ListParagraph"/>
              <w:numPr>
                <w:ilvl w:val="0"/>
                <w:numId w:val="5"/>
              </w:numPr>
              <w:spacing w:after="120"/>
              <w:contextualSpacing w:val="0"/>
            </w:pPr>
            <w:r>
              <w:t xml:space="preserve">Among the successes, have there been any outliers? What were they? And what made them possible? </w:t>
            </w:r>
          </w:p>
          <w:p w:rsidR="00D80E85" w:rsidRDefault="00D80E85" w:rsidP="002407F3">
            <w:pPr>
              <w:pStyle w:val="ListParagraph"/>
              <w:numPr>
                <w:ilvl w:val="0"/>
                <w:numId w:val="5"/>
              </w:numPr>
              <w:contextualSpacing w:val="0"/>
            </w:pPr>
            <w:r>
              <w:t>What have been common obstacles for FFP-funded programs in their efforts to respond to conflict? What typically have then needed to overcome those obstacles?</w:t>
            </w:r>
            <w:bookmarkStart w:id="0" w:name="_GoBack"/>
            <w:bookmarkEnd w:id="0"/>
          </w:p>
        </w:tc>
      </w:tr>
      <w:tr w:rsidR="00D80E85" w:rsidTr="00D80E85">
        <w:tc>
          <w:tcPr>
            <w:tcW w:w="1548" w:type="dxa"/>
          </w:tcPr>
          <w:p w:rsidR="00D80E85" w:rsidRDefault="00D80E85" w:rsidP="005200C0">
            <w:pPr>
              <w:spacing w:after="120"/>
            </w:pPr>
            <w:r>
              <w:t>12:15 – 12:30</w:t>
            </w:r>
          </w:p>
        </w:tc>
        <w:tc>
          <w:tcPr>
            <w:tcW w:w="7920" w:type="dxa"/>
          </w:tcPr>
          <w:p w:rsidR="00D80E85" w:rsidRDefault="00D80E85" w:rsidP="00D80E85">
            <w:pPr>
              <w:jc w:val="center"/>
            </w:pPr>
            <w:r>
              <w:t>BREAK</w:t>
            </w:r>
          </w:p>
        </w:tc>
      </w:tr>
      <w:tr w:rsidR="00D80E85" w:rsidTr="00D80E85">
        <w:tc>
          <w:tcPr>
            <w:tcW w:w="1548" w:type="dxa"/>
          </w:tcPr>
          <w:p w:rsidR="00D80E85" w:rsidRDefault="00D80E85" w:rsidP="00983413">
            <w:pPr>
              <w:spacing w:after="120"/>
            </w:pPr>
            <w:r>
              <w:t>12:30 – 1:30</w:t>
            </w:r>
          </w:p>
        </w:tc>
        <w:tc>
          <w:tcPr>
            <w:tcW w:w="7920" w:type="dxa"/>
          </w:tcPr>
          <w:p w:rsidR="00D80E85" w:rsidRDefault="00D80E85" w:rsidP="00D80E85">
            <w:pPr>
              <w:spacing w:after="120"/>
            </w:pPr>
            <w:r>
              <w:t>Plenary discussion: Looking forward          (with boxed lunches)</w:t>
            </w:r>
          </w:p>
          <w:p w:rsidR="00D80E85" w:rsidRDefault="00D80E85" w:rsidP="00D80E85">
            <w:pPr>
              <w:pStyle w:val="ListParagraph"/>
              <w:numPr>
                <w:ilvl w:val="0"/>
                <w:numId w:val="5"/>
              </w:numPr>
              <w:spacing w:after="120"/>
              <w:contextualSpacing w:val="0"/>
            </w:pPr>
            <w:r>
              <w:t xml:space="preserve">In the future, where could/should FFP operate on the conflict response and peacebuilding spectrum?  </w:t>
            </w:r>
          </w:p>
          <w:p w:rsidR="00D80E85" w:rsidRDefault="00D80E85" w:rsidP="00D80E85">
            <w:pPr>
              <w:pStyle w:val="ListParagraph"/>
              <w:numPr>
                <w:ilvl w:val="0"/>
                <w:numId w:val="5"/>
              </w:numPr>
              <w:contextualSpacing w:val="0"/>
            </w:pPr>
            <w:r>
              <w:t>How can this work be supported in the future? (FFP processes, Missions, INGOs, guidance, general capacities)</w:t>
            </w:r>
          </w:p>
        </w:tc>
      </w:tr>
      <w:tr w:rsidR="00D80E85" w:rsidTr="00D80E85">
        <w:tc>
          <w:tcPr>
            <w:tcW w:w="1548" w:type="dxa"/>
          </w:tcPr>
          <w:p w:rsidR="00D80E85" w:rsidRDefault="00D80E85" w:rsidP="00983413">
            <w:pPr>
              <w:spacing w:after="120"/>
            </w:pPr>
            <w:r>
              <w:t>1:30 – 2:00</w:t>
            </w:r>
          </w:p>
        </w:tc>
        <w:tc>
          <w:tcPr>
            <w:tcW w:w="7920" w:type="dxa"/>
          </w:tcPr>
          <w:p w:rsidR="00D80E85" w:rsidRDefault="00D80E85" w:rsidP="00D80E85">
            <w:r>
              <w:t xml:space="preserve">Summary of what has been heard and next steps </w:t>
            </w:r>
          </w:p>
        </w:tc>
      </w:tr>
    </w:tbl>
    <w:p w:rsidR="00B51104" w:rsidRDefault="00B51104" w:rsidP="002211E0"/>
    <w:sectPr w:rsidR="00B51104" w:rsidSect="00D80E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5A" w:rsidRDefault="0001695A" w:rsidP="000758D2">
      <w:pPr>
        <w:spacing w:after="0" w:line="240" w:lineRule="auto"/>
      </w:pPr>
      <w:r>
        <w:separator/>
      </w:r>
    </w:p>
  </w:endnote>
  <w:endnote w:type="continuationSeparator" w:id="0">
    <w:p w:rsidR="0001695A" w:rsidRDefault="0001695A" w:rsidP="0007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047007"/>
      <w:docPartObj>
        <w:docPartGallery w:val="Page Numbers (Bottom of Page)"/>
        <w:docPartUnique/>
      </w:docPartObj>
    </w:sdtPr>
    <w:sdtEndPr>
      <w:rPr>
        <w:noProof/>
      </w:rPr>
    </w:sdtEndPr>
    <w:sdtContent>
      <w:p w:rsidR="00FD2C64" w:rsidRDefault="00FD2C64">
        <w:pPr>
          <w:pStyle w:val="Footer"/>
          <w:jc w:val="center"/>
        </w:pPr>
        <w:r>
          <w:fldChar w:fldCharType="begin"/>
        </w:r>
        <w:r>
          <w:instrText xml:space="preserve"> PAGE   \* MERGEFORMAT </w:instrText>
        </w:r>
        <w:r>
          <w:fldChar w:fldCharType="separate"/>
        </w:r>
        <w:r w:rsidR="002407F3">
          <w:rPr>
            <w:noProof/>
          </w:rPr>
          <w:t>1</w:t>
        </w:r>
        <w:r>
          <w:rPr>
            <w:noProof/>
          </w:rPr>
          <w:fldChar w:fldCharType="end"/>
        </w:r>
      </w:p>
    </w:sdtContent>
  </w:sdt>
  <w:p w:rsidR="00FD2C64" w:rsidRDefault="00FD2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5A" w:rsidRDefault="0001695A" w:rsidP="000758D2">
      <w:pPr>
        <w:spacing w:after="0" w:line="240" w:lineRule="auto"/>
      </w:pPr>
      <w:r>
        <w:separator/>
      </w:r>
    </w:p>
  </w:footnote>
  <w:footnote w:type="continuationSeparator" w:id="0">
    <w:p w:rsidR="0001695A" w:rsidRDefault="0001695A" w:rsidP="00075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D2" w:rsidRDefault="00D80E85" w:rsidP="00D80E85">
    <w:pPr>
      <w:pStyle w:val="Header"/>
    </w:pPr>
    <w:r>
      <w:rPr>
        <w:noProof/>
      </w:rPr>
      <w:drawing>
        <wp:inline distT="0" distB="0" distL="0" distR="0" wp14:anchorId="316B6549" wp14:editId="00195E97">
          <wp:extent cx="2962275" cy="1143000"/>
          <wp:effectExtent l="0" t="0" r="9525" b="0"/>
          <wp:docPr id="1" name="Picture 1" descr="https://connect.msi-inc.com/Communications/USAID%20documents/usa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msi-inc.com/Communications/USAID%20documents/usai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DFF"/>
    <w:multiLevelType w:val="hybridMultilevel"/>
    <w:tmpl w:val="00344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C26F84"/>
    <w:multiLevelType w:val="hybridMultilevel"/>
    <w:tmpl w:val="F2ECF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F370A"/>
    <w:multiLevelType w:val="hybridMultilevel"/>
    <w:tmpl w:val="B85E6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902AC4"/>
    <w:multiLevelType w:val="hybridMultilevel"/>
    <w:tmpl w:val="A1EA0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93635C"/>
    <w:multiLevelType w:val="hybridMultilevel"/>
    <w:tmpl w:val="0ABA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11202"/>
    <w:multiLevelType w:val="hybridMultilevel"/>
    <w:tmpl w:val="0E14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47511"/>
    <w:multiLevelType w:val="hybridMultilevel"/>
    <w:tmpl w:val="0066CB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8FF1649"/>
    <w:multiLevelType w:val="hybridMultilevel"/>
    <w:tmpl w:val="937C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8C"/>
    <w:rsid w:val="0001695A"/>
    <w:rsid w:val="000758D2"/>
    <w:rsid w:val="000C4738"/>
    <w:rsid w:val="000F3216"/>
    <w:rsid w:val="0021187D"/>
    <w:rsid w:val="002211E0"/>
    <w:rsid w:val="002407F3"/>
    <w:rsid w:val="002A05E2"/>
    <w:rsid w:val="002A54C4"/>
    <w:rsid w:val="00336CF1"/>
    <w:rsid w:val="00381FF7"/>
    <w:rsid w:val="00387690"/>
    <w:rsid w:val="003A2006"/>
    <w:rsid w:val="00417BDB"/>
    <w:rsid w:val="004422A8"/>
    <w:rsid w:val="00456F1E"/>
    <w:rsid w:val="0046658C"/>
    <w:rsid w:val="00467806"/>
    <w:rsid w:val="00470FCB"/>
    <w:rsid w:val="005039B1"/>
    <w:rsid w:val="00507C4F"/>
    <w:rsid w:val="005200C0"/>
    <w:rsid w:val="0054636A"/>
    <w:rsid w:val="00563AF3"/>
    <w:rsid w:val="00595523"/>
    <w:rsid w:val="005977FA"/>
    <w:rsid w:val="005A5ECF"/>
    <w:rsid w:val="005B6A8B"/>
    <w:rsid w:val="005E1056"/>
    <w:rsid w:val="00676C9D"/>
    <w:rsid w:val="0068358D"/>
    <w:rsid w:val="006D2661"/>
    <w:rsid w:val="007D7510"/>
    <w:rsid w:val="00820B22"/>
    <w:rsid w:val="008437C9"/>
    <w:rsid w:val="008704EA"/>
    <w:rsid w:val="008D10F6"/>
    <w:rsid w:val="00983413"/>
    <w:rsid w:val="009911E0"/>
    <w:rsid w:val="009B63E5"/>
    <w:rsid w:val="009F42B1"/>
    <w:rsid w:val="00A24B67"/>
    <w:rsid w:val="00A26CFA"/>
    <w:rsid w:val="00A32C79"/>
    <w:rsid w:val="00A72BA7"/>
    <w:rsid w:val="00AC3AB1"/>
    <w:rsid w:val="00B34A26"/>
    <w:rsid w:val="00B51104"/>
    <w:rsid w:val="00B83DAA"/>
    <w:rsid w:val="00BB28E0"/>
    <w:rsid w:val="00C47D87"/>
    <w:rsid w:val="00C64769"/>
    <w:rsid w:val="00D1525D"/>
    <w:rsid w:val="00D80E85"/>
    <w:rsid w:val="00D84934"/>
    <w:rsid w:val="00E54766"/>
    <w:rsid w:val="00E92524"/>
    <w:rsid w:val="00F0548D"/>
    <w:rsid w:val="00F16DA0"/>
    <w:rsid w:val="00F346BE"/>
    <w:rsid w:val="00FD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2524"/>
    <w:pPr>
      <w:spacing w:after="240"/>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04"/>
    <w:pPr>
      <w:ind w:left="720"/>
      <w:contextualSpacing/>
    </w:pPr>
  </w:style>
  <w:style w:type="table" w:styleId="TableGrid">
    <w:name w:val="Table Grid"/>
    <w:basedOn w:val="TableNormal"/>
    <w:uiPriority w:val="59"/>
    <w:rsid w:val="0047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79"/>
    <w:rPr>
      <w:sz w:val="18"/>
      <w:szCs w:val="18"/>
    </w:rPr>
  </w:style>
  <w:style w:type="paragraph" w:styleId="CommentText">
    <w:name w:val="annotation text"/>
    <w:basedOn w:val="Normal"/>
    <w:link w:val="CommentTextChar"/>
    <w:uiPriority w:val="99"/>
    <w:semiHidden/>
    <w:unhideWhenUsed/>
    <w:rsid w:val="00A32C79"/>
    <w:pPr>
      <w:spacing w:line="240" w:lineRule="auto"/>
    </w:pPr>
    <w:rPr>
      <w:sz w:val="24"/>
      <w:szCs w:val="24"/>
    </w:rPr>
  </w:style>
  <w:style w:type="character" w:customStyle="1" w:styleId="CommentTextChar">
    <w:name w:val="Comment Text Char"/>
    <w:basedOn w:val="DefaultParagraphFont"/>
    <w:link w:val="CommentText"/>
    <w:uiPriority w:val="99"/>
    <w:semiHidden/>
    <w:rsid w:val="00A32C79"/>
    <w:rPr>
      <w:rFonts w:cs="Arial"/>
      <w:color w:val="000000"/>
      <w:sz w:val="24"/>
      <w:szCs w:val="24"/>
    </w:rPr>
  </w:style>
  <w:style w:type="paragraph" w:styleId="CommentSubject">
    <w:name w:val="annotation subject"/>
    <w:basedOn w:val="CommentText"/>
    <w:next w:val="CommentText"/>
    <w:link w:val="CommentSubjectChar"/>
    <w:uiPriority w:val="99"/>
    <w:semiHidden/>
    <w:unhideWhenUsed/>
    <w:rsid w:val="00A32C79"/>
    <w:rPr>
      <w:b/>
      <w:bCs/>
      <w:sz w:val="20"/>
      <w:szCs w:val="20"/>
    </w:rPr>
  </w:style>
  <w:style w:type="character" w:customStyle="1" w:styleId="CommentSubjectChar">
    <w:name w:val="Comment Subject Char"/>
    <w:basedOn w:val="CommentTextChar"/>
    <w:link w:val="CommentSubject"/>
    <w:uiPriority w:val="99"/>
    <w:semiHidden/>
    <w:rsid w:val="00A32C79"/>
    <w:rPr>
      <w:rFonts w:cs="Arial"/>
      <w:b/>
      <w:bCs/>
      <w:color w:val="000000"/>
      <w:sz w:val="20"/>
      <w:szCs w:val="20"/>
    </w:rPr>
  </w:style>
  <w:style w:type="paragraph" w:styleId="BalloonText">
    <w:name w:val="Balloon Text"/>
    <w:basedOn w:val="Normal"/>
    <w:link w:val="BalloonTextChar"/>
    <w:uiPriority w:val="99"/>
    <w:semiHidden/>
    <w:unhideWhenUsed/>
    <w:rsid w:val="00A32C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C79"/>
    <w:rPr>
      <w:rFonts w:ascii="Lucida Grande" w:hAnsi="Lucida Grande" w:cs="Lucida Grande"/>
      <w:color w:val="000000"/>
      <w:sz w:val="18"/>
      <w:szCs w:val="18"/>
    </w:rPr>
  </w:style>
  <w:style w:type="paragraph" w:styleId="Header">
    <w:name w:val="header"/>
    <w:basedOn w:val="Normal"/>
    <w:link w:val="HeaderChar"/>
    <w:uiPriority w:val="99"/>
    <w:unhideWhenUsed/>
    <w:rsid w:val="00075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8D2"/>
    <w:rPr>
      <w:rFonts w:cs="Arial"/>
      <w:color w:val="000000"/>
    </w:rPr>
  </w:style>
  <w:style w:type="paragraph" w:styleId="Footer">
    <w:name w:val="footer"/>
    <w:basedOn w:val="Normal"/>
    <w:link w:val="FooterChar"/>
    <w:uiPriority w:val="99"/>
    <w:unhideWhenUsed/>
    <w:rsid w:val="00075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8D2"/>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2524"/>
    <w:pPr>
      <w:spacing w:after="240"/>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04"/>
    <w:pPr>
      <w:ind w:left="720"/>
      <w:contextualSpacing/>
    </w:pPr>
  </w:style>
  <w:style w:type="table" w:styleId="TableGrid">
    <w:name w:val="Table Grid"/>
    <w:basedOn w:val="TableNormal"/>
    <w:uiPriority w:val="59"/>
    <w:rsid w:val="0047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79"/>
    <w:rPr>
      <w:sz w:val="18"/>
      <w:szCs w:val="18"/>
    </w:rPr>
  </w:style>
  <w:style w:type="paragraph" w:styleId="CommentText">
    <w:name w:val="annotation text"/>
    <w:basedOn w:val="Normal"/>
    <w:link w:val="CommentTextChar"/>
    <w:uiPriority w:val="99"/>
    <w:semiHidden/>
    <w:unhideWhenUsed/>
    <w:rsid w:val="00A32C79"/>
    <w:pPr>
      <w:spacing w:line="240" w:lineRule="auto"/>
    </w:pPr>
    <w:rPr>
      <w:sz w:val="24"/>
      <w:szCs w:val="24"/>
    </w:rPr>
  </w:style>
  <w:style w:type="character" w:customStyle="1" w:styleId="CommentTextChar">
    <w:name w:val="Comment Text Char"/>
    <w:basedOn w:val="DefaultParagraphFont"/>
    <w:link w:val="CommentText"/>
    <w:uiPriority w:val="99"/>
    <w:semiHidden/>
    <w:rsid w:val="00A32C79"/>
    <w:rPr>
      <w:rFonts w:cs="Arial"/>
      <w:color w:val="000000"/>
      <w:sz w:val="24"/>
      <w:szCs w:val="24"/>
    </w:rPr>
  </w:style>
  <w:style w:type="paragraph" w:styleId="CommentSubject">
    <w:name w:val="annotation subject"/>
    <w:basedOn w:val="CommentText"/>
    <w:next w:val="CommentText"/>
    <w:link w:val="CommentSubjectChar"/>
    <w:uiPriority w:val="99"/>
    <w:semiHidden/>
    <w:unhideWhenUsed/>
    <w:rsid w:val="00A32C79"/>
    <w:rPr>
      <w:b/>
      <w:bCs/>
      <w:sz w:val="20"/>
      <w:szCs w:val="20"/>
    </w:rPr>
  </w:style>
  <w:style w:type="character" w:customStyle="1" w:styleId="CommentSubjectChar">
    <w:name w:val="Comment Subject Char"/>
    <w:basedOn w:val="CommentTextChar"/>
    <w:link w:val="CommentSubject"/>
    <w:uiPriority w:val="99"/>
    <w:semiHidden/>
    <w:rsid w:val="00A32C79"/>
    <w:rPr>
      <w:rFonts w:cs="Arial"/>
      <w:b/>
      <w:bCs/>
      <w:color w:val="000000"/>
      <w:sz w:val="20"/>
      <w:szCs w:val="20"/>
    </w:rPr>
  </w:style>
  <w:style w:type="paragraph" w:styleId="BalloonText">
    <w:name w:val="Balloon Text"/>
    <w:basedOn w:val="Normal"/>
    <w:link w:val="BalloonTextChar"/>
    <w:uiPriority w:val="99"/>
    <w:semiHidden/>
    <w:unhideWhenUsed/>
    <w:rsid w:val="00A32C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C79"/>
    <w:rPr>
      <w:rFonts w:ascii="Lucida Grande" w:hAnsi="Lucida Grande" w:cs="Lucida Grande"/>
      <w:color w:val="000000"/>
      <w:sz w:val="18"/>
      <w:szCs w:val="18"/>
    </w:rPr>
  </w:style>
  <w:style w:type="paragraph" w:styleId="Header">
    <w:name w:val="header"/>
    <w:basedOn w:val="Normal"/>
    <w:link w:val="HeaderChar"/>
    <w:uiPriority w:val="99"/>
    <w:unhideWhenUsed/>
    <w:rsid w:val="00075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8D2"/>
    <w:rPr>
      <w:rFonts w:cs="Arial"/>
      <w:color w:val="000000"/>
    </w:rPr>
  </w:style>
  <w:style w:type="paragraph" w:styleId="Footer">
    <w:name w:val="footer"/>
    <w:basedOn w:val="Normal"/>
    <w:link w:val="FooterChar"/>
    <w:uiPriority w:val="99"/>
    <w:unhideWhenUsed/>
    <w:rsid w:val="00075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8D2"/>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56081-C1AB-4198-B4DD-7D5A23A0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Carlisle</dc:creator>
  <cp:lastModifiedBy>Carlisle</cp:lastModifiedBy>
  <cp:revision>3</cp:revision>
  <cp:lastPrinted>2015-01-08T20:31:00Z</cp:lastPrinted>
  <dcterms:created xsi:type="dcterms:W3CDTF">2015-02-10T20:44:00Z</dcterms:created>
  <dcterms:modified xsi:type="dcterms:W3CDTF">2015-02-10T20:45:00Z</dcterms:modified>
</cp:coreProperties>
</file>