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595"/>
      </w:tblGrid>
      <w:tr w:rsidR="00085023" w:rsidRPr="00B75E94" w:rsidTr="00761762">
        <w:tc>
          <w:tcPr>
            <w:tcW w:w="9243" w:type="dxa"/>
            <w:gridSpan w:val="2"/>
          </w:tcPr>
          <w:p w:rsidR="00085023" w:rsidRPr="00B75E94" w:rsidRDefault="004F20F8" w:rsidP="00F34DDB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75E94">
              <w:rPr>
                <w:b/>
                <w:bCs/>
                <w:color w:val="237990"/>
                <w:sz w:val="24"/>
                <w:szCs w:val="24"/>
                <w:lang w:val="fr-FR"/>
              </w:rPr>
              <w:t>Politique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Les entre</w:t>
            </w:r>
            <w:bookmarkStart w:id="0" w:name="_GoBack"/>
            <w:bookmarkEnd w:id="0"/>
            <w:r w:rsidRPr="00B75E94">
              <w:rPr>
                <w:lang w:val="fr-FR"/>
              </w:rPr>
              <w:t>pôts sont gardés 24h/ 24 et verrouillés pendant les heures de fermeture.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Les clés d'entrepôt sont </w:t>
            </w:r>
            <w:r w:rsidR="001F6427" w:rsidRPr="00B75E94">
              <w:rPr>
                <w:lang w:val="fr-FR"/>
              </w:rPr>
              <w:t xml:space="preserve">détenues en permanence par </w:t>
            </w:r>
            <w:r w:rsidRPr="00B75E94">
              <w:rPr>
                <w:lang w:val="fr-FR"/>
              </w:rPr>
              <w:t xml:space="preserve"> une seule personne à tout moment. Cette personne </w:t>
            </w:r>
            <w:r w:rsidR="00B75E94" w:rsidRPr="00B75E94">
              <w:rPr>
                <w:lang w:val="fr-FR"/>
              </w:rPr>
              <w:t xml:space="preserve">doit </w:t>
            </w:r>
            <w:r w:rsidRPr="00B75E94">
              <w:rPr>
                <w:lang w:val="fr-FR"/>
              </w:rPr>
              <w:t xml:space="preserve">être le </w:t>
            </w:r>
            <w:r w:rsidR="00B75E94" w:rsidRPr="00B75E94">
              <w:rPr>
                <w:lang w:val="fr-FR"/>
              </w:rPr>
              <w:t>magasinier ou chef d</w:t>
            </w:r>
            <w:r w:rsidRPr="00B75E94">
              <w:rPr>
                <w:lang w:val="fr-FR"/>
              </w:rPr>
              <w:t>'entrepôt ou la personne responsable, par exemple, d'un poste de santé partenaire, si les vivres sont stockés dans une pièce du bâtiment.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Un système </w:t>
            </w:r>
            <w:r w:rsidR="00B75E94" w:rsidRPr="00B75E94">
              <w:rPr>
                <w:lang w:val="fr-FR"/>
              </w:rPr>
              <w:t xml:space="preserve">impliquant une équipe de </w:t>
            </w:r>
            <w:r w:rsidRPr="00B75E94">
              <w:rPr>
                <w:lang w:val="fr-FR"/>
              </w:rPr>
              <w:t xml:space="preserve">deux personnes et deux serrures </w:t>
            </w:r>
            <w:r w:rsidR="00B75E94" w:rsidRPr="00B75E94">
              <w:rPr>
                <w:lang w:val="fr-FR"/>
              </w:rPr>
              <w:t xml:space="preserve">doit </w:t>
            </w:r>
            <w:r w:rsidRPr="00B75E94">
              <w:rPr>
                <w:lang w:val="fr-FR"/>
              </w:rPr>
              <w:t xml:space="preserve">être mis en place pour veiller à ce qu'une personne ne se voie pas confier la surveillance exclusive des </w:t>
            </w:r>
            <w:r w:rsidR="00D40071" w:rsidRPr="00B75E94">
              <w:rPr>
                <w:lang w:val="fr-FR"/>
              </w:rPr>
              <w:t>vivres</w:t>
            </w:r>
            <w:r w:rsidRPr="00B75E94">
              <w:rPr>
                <w:lang w:val="fr-FR"/>
              </w:rPr>
              <w:t>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L'administration conserve les clés dupliquées, de manière scellée, pour une utilisation en cas d'urgence</w:t>
            </w:r>
            <w:r w:rsidR="004F20F8" w:rsidRPr="00B75E94">
              <w:rPr>
                <w:lang w:val="fr-FR"/>
              </w:rPr>
              <w:t>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Le détenteur de la clé peut être responsable de toutes les pertes dans l'entrepôt.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Avant que le détenteur </w:t>
            </w:r>
            <w:r w:rsidR="007924C5" w:rsidRPr="00B75E94">
              <w:rPr>
                <w:lang w:val="fr-FR"/>
              </w:rPr>
              <w:t xml:space="preserve">de la clé ne parte en congé, les vivres sont </w:t>
            </w:r>
            <w:r w:rsidR="00B75E94" w:rsidRPr="00B75E94">
              <w:rPr>
                <w:lang w:val="fr-FR"/>
              </w:rPr>
              <w:t>recensés</w:t>
            </w:r>
            <w:r w:rsidRPr="00B75E94">
              <w:rPr>
                <w:lang w:val="fr-FR"/>
              </w:rPr>
              <w:t xml:space="preserve"> et une lettr</w:t>
            </w:r>
            <w:r w:rsidR="007924C5" w:rsidRPr="00B75E94">
              <w:rPr>
                <w:lang w:val="fr-FR"/>
              </w:rPr>
              <w:t>e de délégation est rédigée indiquant</w:t>
            </w:r>
            <w:r w:rsidRPr="00B75E94">
              <w:rPr>
                <w:lang w:val="fr-FR"/>
              </w:rPr>
              <w:t xml:space="preserve"> clairement qui sera responsable d</w:t>
            </w:r>
            <w:r w:rsidR="007924C5" w:rsidRPr="00B75E94">
              <w:rPr>
                <w:lang w:val="fr-FR"/>
              </w:rPr>
              <w:t xml:space="preserve">es vivres </w:t>
            </w:r>
            <w:r w:rsidRPr="00B75E94">
              <w:rPr>
                <w:lang w:val="fr-FR"/>
              </w:rPr>
              <w:t>de l'entrepôt pendant que le détenteur de la clé primaire est en congé.</w:t>
            </w:r>
          </w:p>
        </w:tc>
      </w:tr>
      <w:tr w:rsidR="004F20F8" w:rsidRPr="00B75E94" w:rsidTr="00761762">
        <w:tc>
          <w:tcPr>
            <w:tcW w:w="648" w:type="dxa"/>
          </w:tcPr>
          <w:p w:rsidR="004F20F8" w:rsidRPr="00B75E94" w:rsidRDefault="004F20F8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4F20F8" w:rsidRPr="00B75E94" w:rsidRDefault="004F20F8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Une liste actuelle de tous les détenteurs de clés (y compris les partenaires et les membres de la communauté) est maintenue.</w:t>
            </w:r>
          </w:p>
        </w:tc>
      </w:tr>
      <w:tr w:rsidR="00085023" w:rsidRPr="00B75E94" w:rsidTr="00761762">
        <w:tc>
          <w:tcPr>
            <w:tcW w:w="9243" w:type="dxa"/>
            <w:gridSpan w:val="2"/>
          </w:tcPr>
          <w:p w:rsidR="00085023" w:rsidRPr="00B75E94" w:rsidRDefault="007924C5" w:rsidP="00C1023B">
            <w:pPr>
              <w:spacing w:before="80" w:after="80"/>
              <w:rPr>
                <w:b/>
                <w:bCs/>
                <w:sz w:val="24"/>
                <w:szCs w:val="24"/>
                <w:lang w:val="fr-FR"/>
              </w:rPr>
            </w:pPr>
            <w:r w:rsidRPr="00B75E94">
              <w:rPr>
                <w:b/>
                <w:bCs/>
                <w:color w:val="237990"/>
                <w:sz w:val="24"/>
                <w:szCs w:val="24"/>
                <w:lang w:val="fr-FR"/>
              </w:rPr>
              <w:t xml:space="preserve">Procédures d'utilisation normalisées recommandées </w:t>
            </w:r>
            <w:r w:rsidR="0021640B" w:rsidRPr="00B75E94">
              <w:rPr>
                <w:bCs/>
                <w:lang w:val="fr-FR"/>
              </w:rPr>
              <w:t>(</w:t>
            </w:r>
            <w:r w:rsidRPr="00B75E94">
              <w:rPr>
                <w:bCs/>
                <w:lang w:val="fr-FR"/>
              </w:rPr>
              <w:t>peu</w:t>
            </w:r>
            <w:r w:rsidR="00E11F3D" w:rsidRPr="00B75E94">
              <w:rPr>
                <w:bCs/>
                <w:lang w:val="fr-FR"/>
              </w:rPr>
              <w:t>ven</w:t>
            </w:r>
            <w:r w:rsidRPr="00B75E94">
              <w:rPr>
                <w:bCs/>
                <w:lang w:val="fr-FR"/>
              </w:rPr>
              <w:t>t varier en fonction du contexte de l'entrepôt</w:t>
            </w:r>
            <w:r w:rsidR="0021640B" w:rsidRPr="00B75E94">
              <w:rPr>
                <w:bCs/>
                <w:lang w:val="fr-FR"/>
              </w:rPr>
              <w:t>)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Les portes d'entrée de l'entrepôt sont correctement contrôlées.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Les véhicules qui entrent ou sortent de l'entrepôt doivent être vérifiés pour s'assurer que les vivres transportés</w:t>
            </w:r>
            <w:r w:rsidR="00D47CD0" w:rsidRPr="00B75E94">
              <w:rPr>
                <w:lang w:val="fr-FR"/>
              </w:rPr>
              <w:t xml:space="preserve"> dispose</w:t>
            </w:r>
            <w:r w:rsidRPr="00B75E94">
              <w:rPr>
                <w:lang w:val="fr-FR"/>
              </w:rPr>
              <w:t xml:space="preserve"> </w:t>
            </w:r>
            <w:r w:rsidR="00D47CD0" w:rsidRPr="00B75E94">
              <w:rPr>
                <w:lang w:val="fr-FR"/>
              </w:rPr>
              <w:t>d’</w:t>
            </w:r>
            <w:r w:rsidRPr="00B75E94">
              <w:rPr>
                <w:lang w:val="fr-FR"/>
              </w:rPr>
              <w:t xml:space="preserve">une lettre de </w:t>
            </w:r>
            <w:r w:rsidR="00D47CD0" w:rsidRPr="00B75E94">
              <w:rPr>
                <w:lang w:val="fr-FR"/>
              </w:rPr>
              <w:t>transport</w:t>
            </w:r>
            <w:r w:rsidRPr="00B75E94">
              <w:rPr>
                <w:lang w:val="fr-FR"/>
              </w:rPr>
              <w:t xml:space="preserve"> autorisée.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Les </w:t>
            </w:r>
            <w:r w:rsidR="00B75E94" w:rsidRPr="00B75E94">
              <w:rPr>
                <w:lang w:val="fr-FR"/>
              </w:rPr>
              <w:t>agents de</w:t>
            </w:r>
            <w:r w:rsidRPr="00B75E94">
              <w:rPr>
                <w:lang w:val="fr-FR"/>
              </w:rPr>
              <w:t xml:space="preserve"> sécurité d</w:t>
            </w:r>
            <w:r w:rsidR="00B75E94" w:rsidRPr="00B75E94">
              <w:rPr>
                <w:lang w:val="fr-FR"/>
              </w:rPr>
              <w:t>oiven</w:t>
            </w:r>
            <w:r w:rsidRPr="00B75E94">
              <w:rPr>
                <w:lang w:val="fr-FR"/>
              </w:rPr>
              <w:t>t être</w:t>
            </w:r>
            <w:r w:rsidR="00B75E94" w:rsidRPr="00B75E94">
              <w:rPr>
                <w:lang w:val="fr-FR"/>
              </w:rPr>
              <w:t xml:space="preserve"> présents pendant </w:t>
            </w:r>
            <w:r w:rsidRPr="00B75E94">
              <w:rPr>
                <w:lang w:val="fr-FR"/>
              </w:rPr>
              <w:t>l'ouverture et la fermeture de l'entrepôt.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E11F3D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Ils </w:t>
            </w:r>
            <w:r w:rsidR="007924C5" w:rsidRPr="00B75E94">
              <w:rPr>
                <w:lang w:val="fr-FR"/>
              </w:rPr>
              <w:t xml:space="preserve"> doivent mettre en œuvre un processus de transfert documenté lorsque les équipes changent.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L'accès à l'entrepôt doit être réservé aux employés ou aux fournisseurs de services </w:t>
            </w:r>
            <w:r w:rsidR="00B75E94" w:rsidRPr="00B75E94">
              <w:rPr>
                <w:lang w:val="fr-FR"/>
              </w:rPr>
              <w:t>engagés pour exploiter ou inspecter l</w:t>
            </w:r>
            <w:r w:rsidRPr="00B75E94">
              <w:rPr>
                <w:lang w:val="fr-FR"/>
              </w:rPr>
              <w:t>'entrepôt.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Tous les individus doivent laisser leurs sacs à dos, sacs</w:t>
            </w:r>
            <w:r w:rsidR="00B75E94" w:rsidRPr="00B75E94">
              <w:rPr>
                <w:lang w:val="fr-FR"/>
              </w:rPr>
              <w:t xml:space="preserve"> à main</w:t>
            </w:r>
            <w:r w:rsidRPr="00B75E94">
              <w:rPr>
                <w:lang w:val="fr-FR"/>
              </w:rPr>
              <w:t xml:space="preserve"> ou autres effets personnels dans un endroit sûr avant d'entrer dans l'entrepôt.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 xml:space="preserve">Tous les individus doivent signer un </w:t>
            </w:r>
            <w:r w:rsidR="00B75E94" w:rsidRPr="00B75E94">
              <w:rPr>
                <w:lang w:val="fr-FR"/>
              </w:rPr>
              <w:t xml:space="preserve">registre </w:t>
            </w:r>
            <w:r w:rsidRPr="00B75E94">
              <w:rPr>
                <w:lang w:val="fr-FR"/>
              </w:rPr>
              <w:t>de présence quotidienne lorsqu'ils entrent et sortent de l'entrepôt.</w:t>
            </w:r>
          </w:p>
        </w:tc>
      </w:tr>
      <w:tr w:rsidR="007924C5" w:rsidRPr="00B75E94" w:rsidTr="00761762">
        <w:tc>
          <w:tcPr>
            <w:tcW w:w="648" w:type="dxa"/>
          </w:tcPr>
          <w:p w:rsidR="007924C5" w:rsidRPr="00B75E94" w:rsidRDefault="007924C5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924C5" w:rsidRPr="00B75E94" w:rsidRDefault="007924C5" w:rsidP="00C1023B">
            <w:pPr>
              <w:spacing w:before="80" w:after="80"/>
              <w:rPr>
                <w:lang w:val="fr-FR"/>
              </w:rPr>
            </w:pPr>
            <w:r w:rsidRPr="00B75E94">
              <w:rPr>
                <w:lang w:val="fr-FR"/>
              </w:rPr>
              <w:t>Tout document sortant de l'entrepôt doit être signé.</w:t>
            </w:r>
          </w:p>
        </w:tc>
      </w:tr>
      <w:tr w:rsidR="00BF7BFD" w:rsidRPr="00B75E94" w:rsidTr="00761762">
        <w:tc>
          <w:tcPr>
            <w:tcW w:w="648" w:type="dxa"/>
          </w:tcPr>
          <w:p w:rsidR="00BF7BFD" w:rsidRPr="00B75E94" w:rsidRDefault="00BF7BFD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527F7" w:rsidRPr="00B75E94" w:rsidRDefault="00D47CD0" w:rsidP="00C1023B">
            <w:pPr>
              <w:spacing w:before="80" w:after="0"/>
              <w:rPr>
                <w:lang w:val="fr-FR"/>
              </w:rPr>
            </w:pPr>
            <w:r w:rsidRPr="00B75E94">
              <w:rPr>
                <w:lang w:val="fr-FR"/>
              </w:rPr>
              <w:t>Si les visiteurs ont un accès à l’entrepôt:</w:t>
            </w:r>
          </w:p>
          <w:p w:rsidR="00D527F7" w:rsidRPr="00B75E94" w:rsidRDefault="00D47CD0" w:rsidP="00C1023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rPr>
                <w:lang w:val="fr-FR"/>
              </w:rPr>
            </w:pPr>
            <w:r w:rsidRPr="00B75E94">
              <w:rPr>
                <w:lang w:val="fr-FR"/>
              </w:rPr>
              <w:t>Le nom et les détails du visiteur doivent être enregistrés dans un journal de bord</w:t>
            </w:r>
            <w:r w:rsidR="00F34DDB" w:rsidRPr="00B75E94">
              <w:rPr>
                <w:lang w:val="fr-FR"/>
              </w:rPr>
              <w:t>.</w:t>
            </w:r>
            <w:r w:rsidR="00D527F7" w:rsidRPr="00B75E94">
              <w:rPr>
                <w:lang w:val="fr-FR"/>
              </w:rPr>
              <w:t xml:space="preserve"> </w:t>
            </w:r>
          </w:p>
          <w:p w:rsidR="00D527F7" w:rsidRPr="00B75E94" w:rsidRDefault="00D47CD0" w:rsidP="00C1023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rPr>
                <w:lang w:val="fr-FR"/>
              </w:rPr>
            </w:pPr>
            <w:r w:rsidRPr="00B75E94">
              <w:rPr>
                <w:lang w:val="fr-FR"/>
              </w:rPr>
              <w:t>Les badges de</w:t>
            </w:r>
            <w:r w:rsidR="00143155" w:rsidRPr="00B75E94">
              <w:rPr>
                <w:lang w:val="fr-FR"/>
              </w:rPr>
              <w:t>s</w:t>
            </w:r>
            <w:r w:rsidRPr="00B75E94">
              <w:rPr>
                <w:lang w:val="fr-FR"/>
              </w:rPr>
              <w:t xml:space="preserve"> visiteur</w:t>
            </w:r>
            <w:r w:rsidR="00143155" w:rsidRPr="00B75E94">
              <w:rPr>
                <w:lang w:val="fr-FR"/>
              </w:rPr>
              <w:t>s</w:t>
            </w:r>
            <w:r w:rsidRPr="00B75E94">
              <w:rPr>
                <w:lang w:val="fr-FR"/>
              </w:rPr>
              <w:t xml:space="preserve"> doivent être émis</w:t>
            </w:r>
            <w:r w:rsidR="00F34DDB" w:rsidRPr="00B75E94">
              <w:rPr>
                <w:lang w:val="fr-FR"/>
              </w:rPr>
              <w:t>.</w:t>
            </w:r>
            <w:r w:rsidR="00D527F7" w:rsidRPr="00B75E94">
              <w:rPr>
                <w:lang w:val="fr-FR"/>
              </w:rPr>
              <w:t xml:space="preserve"> </w:t>
            </w:r>
          </w:p>
          <w:p w:rsidR="00BF7BFD" w:rsidRPr="00B75E94" w:rsidRDefault="00143155" w:rsidP="00C1023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rPr>
                <w:lang w:val="fr-FR"/>
              </w:rPr>
            </w:pPr>
            <w:r w:rsidRPr="00B75E94">
              <w:rPr>
                <w:lang w:val="fr-FR"/>
              </w:rPr>
              <w:lastRenderedPageBreak/>
              <w:t>Les visiteurs doivent être inspectés avant de quitter l'entrepôt.</w:t>
            </w:r>
          </w:p>
        </w:tc>
      </w:tr>
      <w:tr w:rsidR="00BF7BFD" w:rsidRPr="00B75E94" w:rsidTr="00B75E94">
        <w:trPr>
          <w:trHeight w:val="855"/>
        </w:trPr>
        <w:tc>
          <w:tcPr>
            <w:tcW w:w="648" w:type="dxa"/>
          </w:tcPr>
          <w:p w:rsidR="00BF7BFD" w:rsidRPr="00B75E94" w:rsidRDefault="00BF7BFD" w:rsidP="005A2BC5">
            <w:pPr>
              <w:spacing w:after="40"/>
              <w:rPr>
                <w:sz w:val="28"/>
                <w:szCs w:val="28"/>
                <w:lang w:val="fr-FR"/>
              </w:rPr>
            </w:pPr>
            <w:r w:rsidRPr="00B75E94">
              <w:rPr>
                <w:sz w:val="28"/>
                <w:szCs w:val="28"/>
                <w:lang w:val="fr-FR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BF7BFD" w:rsidRPr="00B75E94" w:rsidRDefault="00143155" w:rsidP="00C1023B">
            <w:pPr>
              <w:spacing w:before="80" w:after="0"/>
              <w:rPr>
                <w:lang w:val="fr-FR"/>
              </w:rPr>
            </w:pPr>
            <w:r w:rsidRPr="00B75E94">
              <w:rPr>
                <w:lang w:val="fr-FR"/>
              </w:rPr>
              <w:t>Les détenteurs de clés vérifient régulièrement que toutes les ouvertures (portes, fenêtres, etc.) fonctionnent correctement et peuvent être verrouillées en toute sécurité</w:t>
            </w:r>
            <w:r w:rsidR="00BF7BFD" w:rsidRPr="00B75E94">
              <w:rPr>
                <w:lang w:val="fr-FR"/>
              </w:rPr>
              <w:t>.</w:t>
            </w:r>
          </w:p>
        </w:tc>
      </w:tr>
    </w:tbl>
    <w:p w:rsidR="00216492" w:rsidRPr="00B75E94" w:rsidRDefault="00216492" w:rsidP="0056731E">
      <w:pPr>
        <w:rPr>
          <w:lang w:val="fr-FR"/>
        </w:rPr>
      </w:pPr>
    </w:p>
    <w:sectPr w:rsidR="00216492" w:rsidRPr="00B75E94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E3" w:rsidRDefault="00BC73E3" w:rsidP="00740495">
      <w:pPr>
        <w:spacing w:before="0" w:after="0"/>
      </w:pPr>
      <w:r>
        <w:separator/>
      </w:r>
    </w:p>
  </w:endnote>
  <w:endnote w:type="continuationSeparator" w:id="0">
    <w:p w:rsidR="00BC73E3" w:rsidRDefault="00BC73E3" w:rsidP="007404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6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61762" w:rsidRPr="004304A6" w:rsidRDefault="00761762" w:rsidP="00761762">
            <w:pPr>
              <w:pStyle w:val="Footer"/>
              <w:jc w:val="center"/>
            </w:pPr>
            <w:r w:rsidRPr="004304A6">
              <w:t xml:space="preserve">Page </w:t>
            </w:r>
            <w:r w:rsidR="00A506AD" w:rsidRPr="004304A6">
              <w:fldChar w:fldCharType="begin"/>
            </w:r>
            <w:r w:rsidRPr="004304A6">
              <w:instrText xml:space="preserve"> PAGE </w:instrText>
            </w:r>
            <w:r w:rsidR="00A506AD" w:rsidRPr="004304A6">
              <w:fldChar w:fldCharType="separate"/>
            </w:r>
            <w:r w:rsidR="00C1023B">
              <w:rPr>
                <w:noProof/>
              </w:rPr>
              <w:t>1</w:t>
            </w:r>
            <w:r w:rsidR="00A506AD" w:rsidRPr="004304A6">
              <w:fldChar w:fldCharType="end"/>
            </w:r>
            <w:r w:rsidRPr="004304A6">
              <w:t xml:space="preserve"> </w:t>
            </w:r>
            <w:r w:rsidR="00C1023B">
              <w:t>/</w:t>
            </w:r>
            <w:r w:rsidRPr="004304A6">
              <w:t xml:space="preserve"> </w:t>
            </w:r>
            <w:r w:rsidR="00A506AD" w:rsidRPr="004304A6">
              <w:fldChar w:fldCharType="begin"/>
            </w:r>
            <w:r w:rsidRPr="004304A6">
              <w:instrText xml:space="preserve"> NUMPAGES  </w:instrText>
            </w:r>
            <w:r w:rsidR="00A506AD" w:rsidRPr="004304A6">
              <w:fldChar w:fldCharType="separate"/>
            </w:r>
            <w:r w:rsidR="00C1023B">
              <w:rPr>
                <w:noProof/>
              </w:rPr>
              <w:t>1</w:t>
            </w:r>
            <w:r w:rsidR="00A506AD" w:rsidRPr="004304A6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E3" w:rsidRDefault="00BC73E3" w:rsidP="00740495">
      <w:pPr>
        <w:spacing w:before="0" w:after="0"/>
      </w:pPr>
      <w:r>
        <w:separator/>
      </w:r>
    </w:p>
  </w:footnote>
  <w:footnote w:type="continuationSeparator" w:id="0">
    <w:p w:rsidR="00BC73E3" w:rsidRDefault="00BC73E3" w:rsidP="007404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5" w:rsidRPr="004F20F8" w:rsidRDefault="004F20F8" w:rsidP="00740495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LISTE DE CONTROLE pour l’accès à l’entrepôt et le contrôle des clés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A2E"/>
    <w:multiLevelType w:val="hybridMultilevel"/>
    <w:tmpl w:val="2856BE52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425AB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>
    <w:nsid w:val="2C8A5B4F"/>
    <w:multiLevelType w:val="hybridMultilevel"/>
    <w:tmpl w:val="3B2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44477"/>
    <w:multiLevelType w:val="hybridMultilevel"/>
    <w:tmpl w:val="BBA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2C73"/>
    <w:multiLevelType w:val="hybridMultilevel"/>
    <w:tmpl w:val="CB62FE5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2F"/>
    <w:rsid w:val="000210BD"/>
    <w:rsid w:val="00026341"/>
    <w:rsid w:val="00030DBC"/>
    <w:rsid w:val="00077F18"/>
    <w:rsid w:val="00085023"/>
    <w:rsid w:val="00087A71"/>
    <w:rsid w:val="000B75D5"/>
    <w:rsid w:val="000D5FB4"/>
    <w:rsid w:val="00134047"/>
    <w:rsid w:val="00143155"/>
    <w:rsid w:val="00164978"/>
    <w:rsid w:val="00165D64"/>
    <w:rsid w:val="001F6427"/>
    <w:rsid w:val="0021640B"/>
    <w:rsid w:val="00216492"/>
    <w:rsid w:val="00221E9C"/>
    <w:rsid w:val="002243F3"/>
    <w:rsid w:val="002305AD"/>
    <w:rsid w:val="00230F56"/>
    <w:rsid w:val="00232EFC"/>
    <w:rsid w:val="002D5165"/>
    <w:rsid w:val="002E0D1A"/>
    <w:rsid w:val="0033384B"/>
    <w:rsid w:val="00341B54"/>
    <w:rsid w:val="00370669"/>
    <w:rsid w:val="00371343"/>
    <w:rsid w:val="003C6404"/>
    <w:rsid w:val="00404A18"/>
    <w:rsid w:val="00406598"/>
    <w:rsid w:val="00407BBC"/>
    <w:rsid w:val="004304A6"/>
    <w:rsid w:val="004E103B"/>
    <w:rsid w:val="004F20F8"/>
    <w:rsid w:val="0056731E"/>
    <w:rsid w:val="005A2BC5"/>
    <w:rsid w:val="005A58EC"/>
    <w:rsid w:val="005B10D8"/>
    <w:rsid w:val="005B721B"/>
    <w:rsid w:val="005E432F"/>
    <w:rsid w:val="005F6AB7"/>
    <w:rsid w:val="006425EA"/>
    <w:rsid w:val="00680050"/>
    <w:rsid w:val="00726C46"/>
    <w:rsid w:val="00740495"/>
    <w:rsid w:val="00761762"/>
    <w:rsid w:val="007924C5"/>
    <w:rsid w:val="007E4799"/>
    <w:rsid w:val="008269C5"/>
    <w:rsid w:val="00847CA2"/>
    <w:rsid w:val="00976760"/>
    <w:rsid w:val="009B4425"/>
    <w:rsid w:val="00A1592A"/>
    <w:rsid w:val="00A16626"/>
    <w:rsid w:val="00A506AD"/>
    <w:rsid w:val="00A61817"/>
    <w:rsid w:val="00A8582D"/>
    <w:rsid w:val="00AA56CF"/>
    <w:rsid w:val="00AB5522"/>
    <w:rsid w:val="00B53CF8"/>
    <w:rsid w:val="00B74161"/>
    <w:rsid w:val="00B75E94"/>
    <w:rsid w:val="00BC73E3"/>
    <w:rsid w:val="00BF7BFD"/>
    <w:rsid w:val="00C1023B"/>
    <w:rsid w:val="00C25EDC"/>
    <w:rsid w:val="00CA502F"/>
    <w:rsid w:val="00CC693D"/>
    <w:rsid w:val="00D40071"/>
    <w:rsid w:val="00D47CD0"/>
    <w:rsid w:val="00D527F7"/>
    <w:rsid w:val="00DD5965"/>
    <w:rsid w:val="00DF1752"/>
    <w:rsid w:val="00E024BA"/>
    <w:rsid w:val="00E11F3D"/>
    <w:rsid w:val="00E44574"/>
    <w:rsid w:val="00E4589A"/>
    <w:rsid w:val="00EB4DEA"/>
    <w:rsid w:val="00F002AC"/>
    <w:rsid w:val="00F34DDB"/>
    <w:rsid w:val="00FA5EDB"/>
    <w:rsid w:val="00FD0397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4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0495"/>
  </w:style>
  <w:style w:type="paragraph" w:styleId="Footer">
    <w:name w:val="footer"/>
    <w:basedOn w:val="Normal"/>
    <w:link w:val="FooterChar"/>
    <w:uiPriority w:val="99"/>
    <w:unhideWhenUsed/>
    <w:rsid w:val="007404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0495"/>
  </w:style>
  <w:style w:type="paragraph" w:styleId="BalloonText">
    <w:name w:val="Balloon Text"/>
    <w:basedOn w:val="Normal"/>
    <w:link w:val="BalloonTextChar"/>
    <w:uiPriority w:val="99"/>
    <w:semiHidden/>
    <w:unhideWhenUsed/>
    <w:rsid w:val="00740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2015-11-05T00:55:00Z</cp:lastPrinted>
  <dcterms:created xsi:type="dcterms:W3CDTF">2018-01-30T00:07:00Z</dcterms:created>
  <dcterms:modified xsi:type="dcterms:W3CDTF">2018-02-07T13:17:00Z</dcterms:modified>
</cp:coreProperties>
</file>