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8595"/>
      </w:tblGrid>
      <w:tr w:rsidR="00C11192" w:rsidTr="000B39BA">
        <w:tc>
          <w:tcPr>
            <w:tcW w:w="648" w:type="dxa"/>
          </w:tcPr>
          <w:p w:rsidR="00C11192" w:rsidRPr="00A125FF" w:rsidRDefault="00C11192" w:rsidP="00A125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C11192" w:rsidRPr="00A125FF" w:rsidRDefault="00C11192" w:rsidP="00921CFB">
            <w:pPr>
              <w:spacing w:after="0" w:line="252" w:lineRule="auto"/>
              <w:rPr>
                <w:rFonts w:ascii="Calibri" w:hAnsi="Calibri" w:cs="Calibri"/>
              </w:rPr>
            </w:pPr>
            <w:r>
              <w:t>Toujours impliquer les autorités locales, les représentants communautaires et / ou les chefs de groupes communautaires dans les distributions pour promouvoir l’appropriation</w:t>
            </w:r>
            <w:r w:rsidR="00113AEB">
              <w:t xml:space="preserve"> par les </w:t>
            </w:r>
            <w:proofErr w:type="spellStart"/>
            <w:r w:rsidR="00113AEB">
              <w:t>communautes</w:t>
            </w:r>
            <w:proofErr w:type="spellEnd"/>
            <w:r>
              <w:t>, assurer la transparence, faciliter la résolution immédiate des problèmes de la communauté et réduire la possibilité de réclamations ultérieures de procédures incorrectes.</w:t>
            </w:r>
          </w:p>
        </w:tc>
      </w:tr>
      <w:tr w:rsidR="00C11192" w:rsidTr="000B39BA">
        <w:tc>
          <w:tcPr>
            <w:tcW w:w="648" w:type="dxa"/>
          </w:tcPr>
          <w:p w:rsidR="00C11192" w:rsidRPr="00A125FF" w:rsidRDefault="00C11192" w:rsidP="00A125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C11192" w:rsidRPr="00A125FF" w:rsidRDefault="00C11192" w:rsidP="00F678CC">
            <w:pPr>
              <w:spacing w:after="0" w:line="252" w:lineRule="auto"/>
              <w:rPr>
                <w:rFonts w:ascii="Calibri" w:hAnsi="Calibri" w:cs="Calibri"/>
              </w:rPr>
            </w:pPr>
            <w:r>
              <w:t>Déterminer le rôle des femmes dans le contexte de leur communauté et planifier leur participation à la distribution de la manière la plus complète et la plus équitable possible.</w:t>
            </w:r>
          </w:p>
        </w:tc>
      </w:tr>
      <w:tr w:rsidR="00C11192" w:rsidTr="000B39BA">
        <w:tc>
          <w:tcPr>
            <w:tcW w:w="648" w:type="dxa"/>
          </w:tcPr>
          <w:p w:rsidR="00C11192" w:rsidRPr="00A125FF" w:rsidRDefault="00C11192" w:rsidP="00A125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C11192" w:rsidRPr="00A125FF" w:rsidRDefault="00C11192" w:rsidP="00113AEB">
            <w:pPr>
              <w:spacing w:after="0" w:line="252" w:lineRule="auto"/>
              <w:rPr>
                <w:rFonts w:ascii="Calibri" w:hAnsi="Calibri" w:cs="Calibri"/>
              </w:rPr>
            </w:pPr>
            <w:r>
              <w:t xml:space="preserve">S’assurer que le personnel de distribution est facilement identifiable (par exemple, avec un chapeau, un tablier ou une chemise </w:t>
            </w:r>
            <w:r w:rsidR="00113AEB">
              <w:t>portant un logo</w:t>
            </w:r>
            <w:r>
              <w:t>).</w:t>
            </w:r>
          </w:p>
        </w:tc>
      </w:tr>
      <w:tr w:rsidR="00C11192" w:rsidTr="000B39BA">
        <w:tc>
          <w:tcPr>
            <w:tcW w:w="648" w:type="dxa"/>
          </w:tcPr>
          <w:p w:rsidR="00C11192" w:rsidRPr="005E432F" w:rsidRDefault="00291E99" w:rsidP="00C11192">
            <w:pPr>
              <w:spacing w:after="8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C11192" w:rsidRPr="00A125FF" w:rsidRDefault="00C11192" w:rsidP="00F678CC">
            <w:pPr>
              <w:spacing w:after="0" w:line="252" w:lineRule="auto"/>
              <w:rPr>
                <w:rFonts w:ascii="Calibri" w:hAnsi="Calibri" w:cs="Calibri"/>
              </w:rPr>
            </w:pPr>
            <w:r>
              <w:t>S'assurer qu'il y a un nombre suffisant d'employés, de journaliers occasionnels, de membres de la communauté et / ou de partenaires pour couvrir les tâches suivantes: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A125FF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ascii="Calibri" w:hAnsi="Calibri" w:cs="Calibri"/>
              </w:rPr>
            </w:pPr>
            <w:r>
              <w:t>Décharger et compter les denrées.</w:t>
            </w:r>
          </w:p>
        </w:tc>
      </w:tr>
      <w:tr w:rsidR="00A125FF" w:rsidTr="000B39BA">
        <w:tc>
          <w:tcPr>
            <w:tcW w:w="648" w:type="dxa"/>
          </w:tcPr>
          <w:p w:rsidR="00A125FF" w:rsidRPr="00A125FF" w:rsidRDefault="00A125FF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A125FF" w:rsidRPr="00A125FF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cs="Arial"/>
              </w:rPr>
            </w:pPr>
            <w:r>
              <w:t>Documenter les dommages ou les pertes des vivres.</w:t>
            </w:r>
          </w:p>
        </w:tc>
      </w:tr>
      <w:tr w:rsidR="00A125FF" w:rsidTr="000B39BA">
        <w:tc>
          <w:tcPr>
            <w:tcW w:w="648" w:type="dxa"/>
          </w:tcPr>
          <w:p w:rsidR="00A125FF" w:rsidRPr="00A125FF" w:rsidRDefault="00A125FF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A125FF" w:rsidRPr="00A125FF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cs="Arial"/>
              </w:rPr>
            </w:pPr>
            <w:r>
              <w:t>Réconcilier et signer la lettre de transport.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A125FF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ascii="Calibri" w:hAnsi="Calibri" w:cs="Calibri"/>
              </w:rPr>
            </w:pPr>
            <w:r>
              <w:t>Assembler l'équipement de distribution (y compris les bannières et les tableaux de ration).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A125FF" w:rsidRPr="00A125FF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ascii="Calibri" w:hAnsi="Calibri" w:cs="Calibri"/>
              </w:rPr>
            </w:pPr>
            <w:r>
              <w:t>Organiser les vivres et les installations du site.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A125FF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rPr>
                <w:rFonts w:ascii="Calibri" w:hAnsi="Calibri" w:cs="Calibri"/>
              </w:rPr>
            </w:pPr>
            <w:r>
              <w:t>Assurer la sécurité du site et le contrôle des foules.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C11192" w:rsidRDefault="00A125FF" w:rsidP="00113AEB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>
              <w:t xml:space="preserve">Sensibiliser la communauté sur le donateur, </w:t>
            </w:r>
            <w:r w:rsidR="00113AEB">
              <w:t>les ayants-droits</w:t>
            </w:r>
            <w:r>
              <w:t xml:space="preserve"> et l'usage </w:t>
            </w:r>
            <w:r w:rsidR="00113AEB">
              <w:t>de la nourriture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C11192" w:rsidRDefault="00A125FF" w:rsidP="00921CFB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>
              <w:t>Fournir des services d'assistance et résoudre les problèmes de rétroaction.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C11192" w:rsidRDefault="00A125FF" w:rsidP="00D577A5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>
              <w:t xml:space="preserve">Vérifier l'éligibilité des </w:t>
            </w:r>
            <w:r w:rsidR="00D577A5">
              <w:t xml:space="preserve">récipiendaires </w:t>
            </w:r>
            <w:r>
              <w:t xml:space="preserve"> et marquer les cartes de ration.</w:t>
            </w:r>
          </w:p>
        </w:tc>
      </w:tr>
      <w:tr w:rsidR="00DE753B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C11192" w:rsidRDefault="00A125FF" w:rsidP="00113AEB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>
              <w:t xml:space="preserve">Servir/distribuer les </w:t>
            </w:r>
            <w:r w:rsidR="00113AEB">
              <w:t>vivres</w:t>
            </w:r>
          </w:p>
        </w:tc>
      </w:tr>
      <w:tr w:rsidR="00A125FF" w:rsidRPr="005E432F" w:rsidTr="000B39BA">
        <w:tc>
          <w:tcPr>
            <w:tcW w:w="648" w:type="dxa"/>
          </w:tcPr>
          <w:p w:rsidR="00A125FF" w:rsidRPr="00A125FF" w:rsidRDefault="00A125FF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A125FF" w:rsidRPr="00C11192" w:rsidRDefault="00A125FF" w:rsidP="00745ED4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Vérifier les mesures de ration.</w:t>
            </w:r>
          </w:p>
        </w:tc>
      </w:tr>
      <w:tr w:rsidR="00DE753B" w:rsidRPr="005E432F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C11192" w:rsidRDefault="00A125FF" w:rsidP="00113AEB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>
              <w:t xml:space="preserve">Vérifier la réception de la ration de </w:t>
            </w:r>
            <w:r w:rsidR="00113AEB">
              <w:t>vivres</w:t>
            </w:r>
          </w:p>
        </w:tc>
      </w:tr>
      <w:tr w:rsidR="00DE753B" w:rsidRPr="005E432F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C11192" w:rsidRDefault="00A125FF" w:rsidP="00113AEB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>
              <w:t>R</w:t>
            </w:r>
            <w:r w:rsidR="00113AEB">
              <w:t>approcher la liste d</w:t>
            </w:r>
            <w:r>
              <w:t xml:space="preserve">es </w:t>
            </w:r>
            <w:r w:rsidR="00113AEB">
              <w:t xml:space="preserve">vivres </w:t>
            </w:r>
            <w:r>
              <w:t xml:space="preserve">reçus sur le site </w:t>
            </w:r>
            <w:r w:rsidR="00113AEB">
              <w:t>à celle des vivres</w:t>
            </w:r>
            <w:r>
              <w:t xml:space="preserve"> distribués.</w:t>
            </w:r>
          </w:p>
        </w:tc>
      </w:tr>
      <w:tr w:rsidR="00DE753B" w:rsidRPr="005E432F" w:rsidTr="000B39BA">
        <w:tc>
          <w:tcPr>
            <w:tcW w:w="648" w:type="dxa"/>
          </w:tcPr>
          <w:p w:rsidR="00DE753B" w:rsidRPr="00A125FF" w:rsidRDefault="00DE753B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DE753B" w:rsidRPr="00C11192" w:rsidRDefault="00A125FF" w:rsidP="00921CFB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  <w:rPr>
                <w:rFonts w:ascii="Calibri" w:hAnsi="Calibri" w:cs="Calibri"/>
              </w:rPr>
            </w:pPr>
            <w:r>
              <w:t>Transférer l'excédent des vivres et les conteneurs vides selon les procédures normales.</w:t>
            </w:r>
          </w:p>
        </w:tc>
      </w:tr>
      <w:tr w:rsidR="00A125FF" w:rsidRPr="005E432F" w:rsidTr="000B39BA">
        <w:tc>
          <w:tcPr>
            <w:tcW w:w="648" w:type="dxa"/>
          </w:tcPr>
          <w:p w:rsidR="00A125FF" w:rsidRPr="00A125FF" w:rsidRDefault="00A125FF" w:rsidP="00A125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A125FF" w:rsidRPr="00C865C6" w:rsidRDefault="00A125FF" w:rsidP="00291E9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contextualSpacing w:val="0"/>
            </w:pPr>
            <w:r>
              <w:t>Nettoyer le site après la distribution.</w:t>
            </w:r>
          </w:p>
        </w:tc>
      </w:tr>
      <w:tr w:rsidR="00C11192" w:rsidRPr="005E432F" w:rsidTr="000B39BA">
        <w:tc>
          <w:tcPr>
            <w:tcW w:w="648" w:type="dxa"/>
          </w:tcPr>
          <w:p w:rsidR="00C11192" w:rsidRPr="00A125FF" w:rsidRDefault="00C11192" w:rsidP="00A125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C11192" w:rsidRPr="00C11192" w:rsidRDefault="00C11192" w:rsidP="00F678CC">
            <w:pPr>
              <w:spacing w:after="0" w:line="252" w:lineRule="auto"/>
              <w:rPr>
                <w:rFonts w:ascii="Calibri" w:hAnsi="Calibri" w:cs="Calibri"/>
              </w:rPr>
            </w:pPr>
            <w:r>
              <w:t xml:space="preserve">Assurer la formation ou le renforcement des capacités du personnel, des travailleurs </w:t>
            </w:r>
            <w:bookmarkStart w:id="0" w:name="_GoBack"/>
            <w:bookmarkEnd w:id="0"/>
            <w:r>
              <w:t>occasionnels, des membres de la communauté et / ou des partenaires impliqués dans les procédures de distribution.</w:t>
            </w:r>
          </w:p>
        </w:tc>
      </w:tr>
      <w:tr w:rsidR="00C11192" w:rsidRPr="005E432F" w:rsidTr="000B39BA">
        <w:tc>
          <w:tcPr>
            <w:tcW w:w="648" w:type="dxa"/>
          </w:tcPr>
          <w:p w:rsidR="00C11192" w:rsidRPr="00A125FF" w:rsidRDefault="00C11192" w:rsidP="00A125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C11192" w:rsidRPr="00745ED4" w:rsidRDefault="00C11192" w:rsidP="00F678CC">
            <w:pPr>
              <w:spacing w:after="0" w:line="252" w:lineRule="auto"/>
              <w:rPr>
                <w:rFonts w:ascii="Calibri" w:hAnsi="Calibri" w:cs="Calibri"/>
                <w:b/>
              </w:rPr>
            </w:pPr>
            <w:r>
              <w:rPr>
                <w:b/>
              </w:rPr>
              <w:t>Évite</w:t>
            </w:r>
            <w:r w:rsidR="00113AEB">
              <w:rPr>
                <w:b/>
              </w:rPr>
              <w:t>r</w:t>
            </w:r>
            <w:r>
              <w:rPr>
                <w:b/>
              </w:rPr>
              <w:t xml:space="preserve"> d'utiliser les denrées alimentaires comme moyen de paiement.</w:t>
            </w:r>
          </w:p>
        </w:tc>
      </w:tr>
    </w:tbl>
    <w:p w:rsidR="00C865C6" w:rsidRDefault="00C865C6" w:rsidP="00A125FF"/>
    <w:sectPr w:rsidR="00C865C6" w:rsidSect="005E432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13" w:rsidRDefault="00D62013" w:rsidP="00DE753B">
      <w:pPr>
        <w:spacing w:before="0" w:after="0"/>
      </w:pPr>
      <w:r>
        <w:separator/>
      </w:r>
    </w:p>
  </w:endnote>
  <w:endnote w:type="continuationSeparator" w:id="0">
    <w:p w:rsidR="00D62013" w:rsidRDefault="00D62013" w:rsidP="00DE753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7085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E753B" w:rsidRPr="00513A4F" w:rsidRDefault="00DE753B">
            <w:pPr>
              <w:pStyle w:val="Footer"/>
              <w:jc w:val="center"/>
            </w:pPr>
            <w:r>
              <w:t xml:space="preserve">Page </w:t>
            </w:r>
            <w:r w:rsidR="00883B70" w:rsidRPr="00513A4F">
              <w:fldChar w:fldCharType="begin"/>
            </w:r>
            <w:r w:rsidRPr="00513A4F">
              <w:instrText xml:space="preserve"> PAGE </w:instrText>
            </w:r>
            <w:r w:rsidR="00883B70" w:rsidRPr="00513A4F">
              <w:fldChar w:fldCharType="separate"/>
            </w:r>
            <w:r w:rsidR="00085168">
              <w:rPr>
                <w:noProof/>
              </w:rPr>
              <w:t>1</w:t>
            </w:r>
            <w:r w:rsidR="00883B70" w:rsidRPr="00513A4F">
              <w:fldChar w:fldCharType="end"/>
            </w:r>
            <w:r>
              <w:t xml:space="preserve"> / </w:t>
            </w:r>
            <w:r w:rsidR="00883B70" w:rsidRPr="00513A4F">
              <w:fldChar w:fldCharType="begin"/>
            </w:r>
            <w:r w:rsidRPr="00513A4F">
              <w:instrText xml:space="preserve"> NUMPAGES  </w:instrText>
            </w:r>
            <w:r w:rsidR="00883B70" w:rsidRPr="00513A4F">
              <w:fldChar w:fldCharType="separate"/>
            </w:r>
            <w:r w:rsidR="00085168">
              <w:rPr>
                <w:noProof/>
              </w:rPr>
              <w:t>1</w:t>
            </w:r>
            <w:r w:rsidR="00883B70" w:rsidRPr="00513A4F">
              <w:fldChar w:fldCharType="end"/>
            </w:r>
          </w:p>
        </w:sdtContent>
      </w:sdt>
    </w:sdtContent>
  </w:sdt>
  <w:p w:rsidR="00DE753B" w:rsidRDefault="00DE7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13" w:rsidRDefault="00D62013" w:rsidP="00DE753B">
      <w:pPr>
        <w:spacing w:before="0" w:after="0"/>
      </w:pPr>
      <w:r>
        <w:separator/>
      </w:r>
    </w:p>
  </w:footnote>
  <w:footnote w:type="continuationSeparator" w:id="0">
    <w:p w:rsidR="00D62013" w:rsidRDefault="00D62013" w:rsidP="00DE753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3B" w:rsidRPr="00DE753B" w:rsidRDefault="00DE753B" w:rsidP="00DE753B">
    <w:pPr>
      <w:pStyle w:val="Header"/>
      <w:jc w:val="center"/>
      <w:rPr>
        <w:sz w:val="28"/>
        <w:szCs w:val="28"/>
      </w:rPr>
    </w:pPr>
    <w:r>
      <w:rPr>
        <w:b/>
        <w:color w:val="237990"/>
        <w:sz w:val="28"/>
        <w:szCs w:val="28"/>
      </w:rPr>
      <w:t>LISTE DE CONTRÔLE pour les rôles et responsabilités sur les sites de distribution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7B68"/>
    <w:multiLevelType w:val="hybridMultilevel"/>
    <w:tmpl w:val="0414D098"/>
    <w:lvl w:ilvl="0" w:tplc="088072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419EB"/>
    <w:multiLevelType w:val="hybridMultilevel"/>
    <w:tmpl w:val="DE68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E432F"/>
    <w:rsid w:val="00026341"/>
    <w:rsid w:val="0004147E"/>
    <w:rsid w:val="00085168"/>
    <w:rsid w:val="000B39BA"/>
    <w:rsid w:val="000B75D5"/>
    <w:rsid w:val="000E71E3"/>
    <w:rsid w:val="00113AEB"/>
    <w:rsid w:val="00117AC7"/>
    <w:rsid w:val="00165D64"/>
    <w:rsid w:val="001954F2"/>
    <w:rsid w:val="001B0B8A"/>
    <w:rsid w:val="002243F3"/>
    <w:rsid w:val="002305AD"/>
    <w:rsid w:val="00230F56"/>
    <w:rsid w:val="002318F2"/>
    <w:rsid w:val="00291E99"/>
    <w:rsid w:val="002E0D1A"/>
    <w:rsid w:val="002F4A9F"/>
    <w:rsid w:val="00341970"/>
    <w:rsid w:val="00341B54"/>
    <w:rsid w:val="00367C44"/>
    <w:rsid w:val="00371343"/>
    <w:rsid w:val="003B110F"/>
    <w:rsid w:val="00404A18"/>
    <w:rsid w:val="00407BBC"/>
    <w:rsid w:val="00430102"/>
    <w:rsid w:val="00457951"/>
    <w:rsid w:val="004718F0"/>
    <w:rsid w:val="004E103B"/>
    <w:rsid w:val="00513238"/>
    <w:rsid w:val="00513A4F"/>
    <w:rsid w:val="00596968"/>
    <w:rsid w:val="005B721B"/>
    <w:rsid w:val="005C7EE8"/>
    <w:rsid w:val="005E432F"/>
    <w:rsid w:val="006E1A6D"/>
    <w:rsid w:val="00745ED4"/>
    <w:rsid w:val="008032AA"/>
    <w:rsid w:val="00883B70"/>
    <w:rsid w:val="00921CFB"/>
    <w:rsid w:val="00937033"/>
    <w:rsid w:val="00947952"/>
    <w:rsid w:val="009F1FEE"/>
    <w:rsid w:val="00A125FF"/>
    <w:rsid w:val="00A1592A"/>
    <w:rsid w:val="00A16626"/>
    <w:rsid w:val="00A40816"/>
    <w:rsid w:val="00A61817"/>
    <w:rsid w:val="00A752EF"/>
    <w:rsid w:val="00A95793"/>
    <w:rsid w:val="00AF2FB5"/>
    <w:rsid w:val="00C11192"/>
    <w:rsid w:val="00C60740"/>
    <w:rsid w:val="00C865C6"/>
    <w:rsid w:val="00CA502F"/>
    <w:rsid w:val="00CC3442"/>
    <w:rsid w:val="00CC693D"/>
    <w:rsid w:val="00D0206B"/>
    <w:rsid w:val="00D577A5"/>
    <w:rsid w:val="00D62013"/>
    <w:rsid w:val="00DE753B"/>
    <w:rsid w:val="00DF38B5"/>
    <w:rsid w:val="00E000B0"/>
    <w:rsid w:val="00ED5B9A"/>
    <w:rsid w:val="00F42433"/>
    <w:rsid w:val="00F53828"/>
    <w:rsid w:val="00F678CC"/>
    <w:rsid w:val="00F77D05"/>
    <w:rsid w:val="00F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E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753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E753B"/>
  </w:style>
  <w:style w:type="paragraph" w:styleId="Footer">
    <w:name w:val="footer"/>
    <w:basedOn w:val="Normal"/>
    <w:link w:val="FooterChar"/>
    <w:uiPriority w:val="99"/>
    <w:unhideWhenUsed/>
    <w:rsid w:val="00DE753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E753B"/>
  </w:style>
  <w:style w:type="paragraph" w:styleId="BalloonText">
    <w:name w:val="Balloon Text"/>
    <w:basedOn w:val="Normal"/>
    <w:link w:val="BalloonTextChar"/>
    <w:uiPriority w:val="99"/>
    <w:semiHidden/>
    <w:unhideWhenUsed/>
    <w:rsid w:val="00DE75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3</cp:revision>
  <cp:lastPrinted>2015-10-26T14:27:00Z</cp:lastPrinted>
  <dcterms:created xsi:type="dcterms:W3CDTF">2018-01-28T23:33:00Z</dcterms:created>
  <dcterms:modified xsi:type="dcterms:W3CDTF">2018-02-05T21:24:00Z</dcterms:modified>
</cp:coreProperties>
</file>