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C" w:rsidRPr="007466E4" w:rsidRDefault="003C4C78" w:rsidP="00810120">
      <w:pPr>
        <w:spacing w:before="0" w:after="60" w:line="252" w:lineRule="auto"/>
        <w:rPr>
          <w:lang w:val="fr-FR"/>
        </w:rPr>
      </w:pPr>
      <w:r w:rsidRPr="007466E4">
        <w:rPr>
          <w:lang w:val="fr-FR"/>
        </w:rPr>
        <w:t>Le vivre peut être manipulé plusieurs fois entre le déchargement du navire et la destination finale. En l'absence de pré-planification, supposer que les étapes suivantes (chacune impliquant deux manipulations-chargement et déchargement) auront lieu</w:t>
      </w:r>
      <w:r w:rsidR="000A533C" w:rsidRPr="007466E4">
        <w:rPr>
          <w:lang w:val="fr-FR"/>
        </w:rPr>
        <w:t>:</w:t>
      </w:r>
    </w:p>
    <w:p w:rsidR="000A533C" w:rsidRPr="007466E4" w:rsidRDefault="002B4B26" w:rsidP="00321FE3">
      <w:pPr>
        <w:numPr>
          <w:ilvl w:val="0"/>
          <w:numId w:val="1"/>
        </w:numPr>
        <w:spacing w:before="0" w:after="60" w:line="252" w:lineRule="auto"/>
        <w:ind w:left="720"/>
        <w:rPr>
          <w:lang w:val="fr-FR"/>
        </w:rPr>
      </w:pPr>
      <w:r w:rsidRPr="007466E4">
        <w:rPr>
          <w:lang w:val="fr-FR"/>
        </w:rPr>
        <w:t xml:space="preserve">De la cale du navire au </w:t>
      </w:r>
      <w:r w:rsidR="003C4C78" w:rsidRPr="007466E4">
        <w:rPr>
          <w:lang w:val="fr-FR"/>
        </w:rPr>
        <w:t>quai</w:t>
      </w:r>
    </w:p>
    <w:p w:rsidR="003C4C78" w:rsidRPr="007466E4" w:rsidRDefault="003C4C78" w:rsidP="00321FE3">
      <w:pPr>
        <w:numPr>
          <w:ilvl w:val="0"/>
          <w:numId w:val="1"/>
        </w:numPr>
        <w:spacing w:before="0" w:after="60" w:line="252" w:lineRule="auto"/>
        <w:ind w:left="720"/>
        <w:rPr>
          <w:lang w:val="fr-FR"/>
        </w:rPr>
      </w:pPr>
      <w:r w:rsidRPr="007466E4">
        <w:rPr>
          <w:rFonts w:ascii="Segoe UI" w:hAnsi="Segoe UI" w:cs="Segoe UI"/>
          <w:sz w:val="20"/>
          <w:szCs w:val="20"/>
          <w:shd w:val="clear" w:color="auto" w:fill="FFFFFF"/>
          <w:lang w:val="fr-FR"/>
        </w:rPr>
        <w:t xml:space="preserve">Du quai au </w:t>
      </w:r>
      <w:r w:rsidRPr="007466E4">
        <w:rPr>
          <w:lang w:val="fr-FR"/>
        </w:rPr>
        <w:t>hangar</w:t>
      </w:r>
      <w:r w:rsidRPr="007466E4">
        <w:rPr>
          <w:rFonts w:ascii="Segoe UI" w:hAnsi="Segoe UI" w:cs="Segoe UI"/>
          <w:sz w:val="20"/>
          <w:szCs w:val="20"/>
          <w:shd w:val="clear" w:color="auto" w:fill="FFFFFF"/>
          <w:lang w:val="fr-FR"/>
        </w:rPr>
        <w:t xml:space="preserve"> de transit portuaire</w:t>
      </w:r>
    </w:p>
    <w:p w:rsidR="000A533C" w:rsidRPr="007466E4" w:rsidRDefault="002B4B26" w:rsidP="00321FE3">
      <w:pPr>
        <w:numPr>
          <w:ilvl w:val="0"/>
          <w:numId w:val="1"/>
        </w:numPr>
        <w:spacing w:before="0" w:after="60" w:line="252" w:lineRule="auto"/>
        <w:ind w:left="720"/>
        <w:rPr>
          <w:lang w:val="fr-FR"/>
        </w:rPr>
      </w:pPr>
      <w:r w:rsidRPr="007466E4">
        <w:rPr>
          <w:lang w:val="fr-FR"/>
        </w:rPr>
        <w:t>Du h</w:t>
      </w:r>
      <w:r w:rsidR="00DF0996" w:rsidRPr="007466E4">
        <w:rPr>
          <w:lang w:val="fr-FR"/>
        </w:rPr>
        <w:t>angar de transit à l'entrepôt local</w:t>
      </w:r>
    </w:p>
    <w:p w:rsidR="000A533C" w:rsidRPr="007466E4" w:rsidRDefault="002B4B26" w:rsidP="00321FE3">
      <w:pPr>
        <w:numPr>
          <w:ilvl w:val="0"/>
          <w:numId w:val="1"/>
        </w:numPr>
        <w:spacing w:before="0" w:after="200" w:line="252" w:lineRule="auto"/>
        <w:ind w:left="720"/>
        <w:rPr>
          <w:lang w:val="fr-FR"/>
        </w:rPr>
      </w:pPr>
      <w:r w:rsidRPr="007466E4">
        <w:rPr>
          <w:lang w:val="fr-FR"/>
        </w:rPr>
        <w:t>De l’e</w:t>
      </w:r>
      <w:r w:rsidR="00DF0996" w:rsidRPr="007466E4">
        <w:rPr>
          <w:lang w:val="fr-FR"/>
        </w:rPr>
        <w:t xml:space="preserve">ntrepôt local vers la destination </w:t>
      </w:r>
      <w:r w:rsidR="00033E4F" w:rsidRPr="007466E4">
        <w:rPr>
          <w:lang w:val="fr-FR"/>
        </w:rPr>
        <w:t>terrestre</w:t>
      </w:r>
    </w:p>
    <w:p w:rsidR="000A533C" w:rsidRPr="007466E4" w:rsidRDefault="00DF0996" w:rsidP="00BA4193">
      <w:pPr>
        <w:spacing w:before="0" w:after="60" w:line="252" w:lineRule="auto"/>
        <w:rPr>
          <w:lang w:val="fr-FR"/>
        </w:rPr>
      </w:pPr>
      <w:r w:rsidRPr="007466E4">
        <w:rPr>
          <w:lang w:val="fr-FR"/>
        </w:rPr>
        <w:t xml:space="preserve">Avec </w:t>
      </w:r>
      <w:r w:rsidRPr="007466E4">
        <w:rPr>
          <w:b/>
          <w:lang w:val="fr-FR"/>
        </w:rPr>
        <w:t>chaque</w:t>
      </w:r>
      <w:r w:rsidRPr="007466E4">
        <w:rPr>
          <w:lang w:val="fr-FR"/>
        </w:rPr>
        <w:t xml:space="preserve"> manipulat</w:t>
      </w:r>
      <w:bookmarkStart w:id="0" w:name="_GoBack"/>
      <w:bookmarkEnd w:id="0"/>
      <w:r w:rsidRPr="007466E4">
        <w:rPr>
          <w:lang w:val="fr-FR"/>
        </w:rPr>
        <w:t>ion</w:t>
      </w:r>
      <w:r w:rsidR="000A533C" w:rsidRPr="007466E4">
        <w:rPr>
          <w:lang w:val="fr-FR"/>
        </w:rPr>
        <w:t>:</w:t>
      </w:r>
    </w:p>
    <w:p w:rsidR="000A533C" w:rsidRPr="007466E4" w:rsidRDefault="00DF0996" w:rsidP="00DF0996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  <w:rPr>
          <w:lang w:val="fr-FR"/>
        </w:rPr>
      </w:pPr>
      <w:r w:rsidRPr="007466E4">
        <w:rPr>
          <w:lang w:val="fr-FR"/>
        </w:rPr>
        <w:t>Les vivres doivent être comptés et documentés</w:t>
      </w:r>
      <w:r w:rsidR="00BA4193" w:rsidRPr="007466E4">
        <w:rPr>
          <w:lang w:val="fr-FR"/>
        </w:rPr>
        <w:t>.</w:t>
      </w:r>
    </w:p>
    <w:p w:rsidR="000A533C" w:rsidRPr="007466E4" w:rsidRDefault="00DF0996" w:rsidP="00DF0996">
      <w:pPr>
        <w:pStyle w:val="ListParagraph"/>
        <w:numPr>
          <w:ilvl w:val="0"/>
          <w:numId w:val="4"/>
        </w:numPr>
        <w:spacing w:before="0" w:after="60" w:line="252" w:lineRule="auto"/>
        <w:contextualSpacing w:val="0"/>
        <w:rPr>
          <w:lang w:val="fr-FR"/>
        </w:rPr>
      </w:pPr>
      <w:r w:rsidRPr="007466E4">
        <w:rPr>
          <w:lang w:val="fr-FR"/>
        </w:rPr>
        <w:t>Les risques de dommages ou de pertes augmentent</w:t>
      </w:r>
      <w:r w:rsidR="00BA4193" w:rsidRPr="007466E4">
        <w:rPr>
          <w:lang w:val="fr-FR"/>
        </w:rPr>
        <w:t>.</w:t>
      </w:r>
    </w:p>
    <w:p w:rsidR="000A533C" w:rsidRPr="007466E4" w:rsidRDefault="00DF0996" w:rsidP="00DF0996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>Le coût global de l'opération logistique augmente</w:t>
      </w:r>
      <w:r w:rsidR="00BA4193" w:rsidRPr="007466E4">
        <w:rPr>
          <w:lang w:val="fr-FR"/>
        </w:rPr>
        <w:t>.</w:t>
      </w:r>
    </w:p>
    <w:p w:rsidR="00810120" w:rsidRPr="007466E4" w:rsidRDefault="00DF0996" w:rsidP="00810120">
      <w:pPr>
        <w:spacing w:before="0" w:after="200" w:line="252" w:lineRule="auto"/>
        <w:rPr>
          <w:lang w:val="fr-FR"/>
        </w:rPr>
      </w:pPr>
      <w:r w:rsidRPr="007466E4">
        <w:rPr>
          <w:lang w:val="fr-FR"/>
        </w:rPr>
        <w:t xml:space="preserve">Pour minimiser la manutention des </w:t>
      </w:r>
      <w:r w:rsidR="00033E4F" w:rsidRPr="007466E4">
        <w:rPr>
          <w:lang w:val="fr-FR"/>
        </w:rPr>
        <w:t>vivres</w:t>
      </w:r>
      <w:r w:rsidRPr="007466E4">
        <w:rPr>
          <w:lang w:val="fr-FR"/>
        </w:rPr>
        <w:t xml:space="preserve"> dans le port</w:t>
      </w:r>
      <w:r w:rsidR="00810120" w:rsidRPr="007466E4">
        <w:rPr>
          <w:lang w:val="fr-FR"/>
        </w:rPr>
        <w:t>:</w:t>
      </w:r>
      <w:r w:rsidR="00320A50" w:rsidRPr="007466E4">
        <w:rPr>
          <w:lang w:val="fr-FR"/>
        </w:rPr>
        <w:t xml:space="preserve"> </w:t>
      </w:r>
    </w:p>
    <w:p w:rsidR="00154F97" w:rsidRPr="007466E4" w:rsidRDefault="00655033" w:rsidP="00655033">
      <w:pPr>
        <w:numPr>
          <w:ilvl w:val="0"/>
          <w:numId w:val="2"/>
        </w:numPr>
        <w:spacing w:before="0" w:after="200" w:line="252" w:lineRule="auto"/>
        <w:rPr>
          <w:lang w:val="fr-FR"/>
        </w:rPr>
      </w:pPr>
      <w:r w:rsidRPr="007466E4">
        <w:rPr>
          <w:lang w:val="fr-FR"/>
        </w:rPr>
        <w:t xml:space="preserve">Inclure l'autorité portuaire, l'agent </w:t>
      </w:r>
      <w:r w:rsidR="002B4B26" w:rsidRPr="007466E4">
        <w:rPr>
          <w:lang w:val="fr-FR"/>
        </w:rPr>
        <w:t>de fret</w:t>
      </w:r>
      <w:r w:rsidRPr="007466E4">
        <w:rPr>
          <w:lang w:val="fr-FR"/>
        </w:rPr>
        <w:t xml:space="preserve">, l'inspecteur indépendant </w:t>
      </w:r>
      <w:r w:rsidR="007466E4" w:rsidRPr="007466E4">
        <w:rPr>
          <w:lang w:val="fr-FR"/>
        </w:rPr>
        <w:t>recruté</w:t>
      </w:r>
      <w:r w:rsidRPr="007466E4">
        <w:rPr>
          <w:lang w:val="fr-FR"/>
        </w:rPr>
        <w:t xml:space="preserve"> et le transitaire dans la préparation d'un plan de décharge</w:t>
      </w:r>
      <w:r w:rsidR="002B4B26" w:rsidRPr="007466E4">
        <w:rPr>
          <w:lang w:val="fr-FR"/>
        </w:rPr>
        <w:t>ment</w:t>
      </w:r>
      <w:r w:rsidRPr="007466E4">
        <w:rPr>
          <w:lang w:val="fr-FR"/>
        </w:rPr>
        <w:t>. Dans l</w:t>
      </w:r>
      <w:r w:rsidR="002B4B26" w:rsidRPr="007466E4">
        <w:rPr>
          <w:lang w:val="fr-FR"/>
        </w:rPr>
        <w:t>e cas d'un connaissement direct</w:t>
      </w:r>
      <w:r w:rsidRPr="007466E4">
        <w:rPr>
          <w:lang w:val="fr-FR"/>
        </w:rPr>
        <w:t>, discute</w:t>
      </w:r>
      <w:r w:rsidR="002B4B26" w:rsidRPr="007466E4">
        <w:rPr>
          <w:lang w:val="fr-FR"/>
        </w:rPr>
        <w:t>r et examiner</w:t>
      </w:r>
      <w:r w:rsidRPr="007466E4">
        <w:rPr>
          <w:lang w:val="fr-FR"/>
        </w:rPr>
        <w:t xml:space="preserve"> le plan de décharge avec  la compagnie de fret. S'il est laissé au transitaire seul, le vivre ne pourra jamais quitter le port pour sa destination intérieure</w:t>
      </w:r>
      <w:r w:rsidR="00154F97" w:rsidRPr="007466E4">
        <w:rPr>
          <w:lang w:val="fr-FR"/>
        </w:rPr>
        <w:t>.</w:t>
      </w:r>
    </w:p>
    <w:p w:rsidR="00912DFC" w:rsidRPr="007466E4" w:rsidRDefault="00655033" w:rsidP="00655033">
      <w:pPr>
        <w:numPr>
          <w:ilvl w:val="0"/>
          <w:numId w:val="2"/>
        </w:numPr>
        <w:spacing w:before="0" w:after="200" w:line="252" w:lineRule="auto"/>
        <w:rPr>
          <w:lang w:val="fr-FR"/>
        </w:rPr>
      </w:pPr>
      <w:r w:rsidRPr="007466E4">
        <w:rPr>
          <w:lang w:val="fr-FR"/>
        </w:rPr>
        <w:t>Déterminer la quantité de vivre qui sera déchargée du navire chaque jour. Cela permettra de déterminer la capacité de transport quotidienne nécessaire pour l'expédition</w:t>
      </w:r>
      <w:r w:rsidR="002B4B26" w:rsidRPr="007466E4">
        <w:rPr>
          <w:lang w:val="fr-FR"/>
        </w:rPr>
        <w:t xml:space="preserve"> qui va suivre</w:t>
      </w:r>
      <w:r w:rsidR="00320A50" w:rsidRPr="007466E4">
        <w:rPr>
          <w:lang w:val="fr-FR"/>
        </w:rPr>
        <w:t>.</w:t>
      </w:r>
    </w:p>
    <w:p w:rsidR="00977121" w:rsidRPr="007466E4" w:rsidRDefault="00655033" w:rsidP="00655033">
      <w:pPr>
        <w:numPr>
          <w:ilvl w:val="0"/>
          <w:numId w:val="2"/>
        </w:numPr>
        <w:spacing w:before="0" w:after="200" w:line="252" w:lineRule="auto"/>
        <w:rPr>
          <w:lang w:val="fr-FR"/>
        </w:rPr>
      </w:pPr>
      <w:r w:rsidRPr="007466E4">
        <w:rPr>
          <w:lang w:val="fr-FR"/>
        </w:rPr>
        <w:t xml:space="preserve">Déterminer combien </w:t>
      </w:r>
      <w:r w:rsidRPr="007466E4">
        <w:rPr>
          <w:b/>
          <w:lang w:val="fr-FR"/>
        </w:rPr>
        <w:t>d'équipes</w:t>
      </w:r>
      <w:r w:rsidRPr="007466E4">
        <w:rPr>
          <w:lang w:val="fr-FR"/>
        </w:rPr>
        <w:t xml:space="preserve"> de manutentionnaires travaillent au port chaque jour. Les grands ports ont trois équipes de huit heures chacune, c'est donc une opération 24 heures sur 24, 7 jours sur 7. Si les vivres seront déchargés </w:t>
      </w:r>
      <w:r w:rsidR="002B4B26" w:rsidRPr="007466E4">
        <w:rPr>
          <w:lang w:val="fr-FR"/>
        </w:rPr>
        <w:t>continuellement</w:t>
      </w:r>
      <w:r w:rsidR="002F5091" w:rsidRPr="007466E4">
        <w:rPr>
          <w:lang w:val="fr-FR"/>
        </w:rPr>
        <w:t>:</w:t>
      </w:r>
    </w:p>
    <w:p w:rsidR="00154F97" w:rsidRPr="007466E4" w:rsidRDefault="00655033" w:rsidP="0065503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 xml:space="preserve">Les vivres ne sont pas expédiés normalement à l'entrepôt de réception final après la tombée de la nuit. Prendre des dispositions pour placer les vivres déchargés la nuit dans un hangar de transit portuaire. Confirmer la capacité du </w:t>
      </w:r>
      <w:r w:rsidR="002B4B26" w:rsidRPr="007466E4">
        <w:rPr>
          <w:lang w:val="fr-FR"/>
        </w:rPr>
        <w:t>ou des h</w:t>
      </w:r>
      <w:r w:rsidRPr="007466E4">
        <w:rPr>
          <w:lang w:val="fr-FR"/>
        </w:rPr>
        <w:t>angar</w:t>
      </w:r>
      <w:r w:rsidR="002B4B26" w:rsidRPr="007466E4">
        <w:rPr>
          <w:lang w:val="fr-FR"/>
        </w:rPr>
        <w:t>s</w:t>
      </w:r>
      <w:r w:rsidRPr="007466E4">
        <w:rPr>
          <w:lang w:val="fr-FR"/>
        </w:rPr>
        <w:t xml:space="preserve"> de transit, et spécifier dans tout contrat de stockage temporaire le responsable des dommages ou pertes de vivres</w:t>
      </w:r>
      <w:r w:rsidR="002F5091" w:rsidRPr="007466E4">
        <w:rPr>
          <w:lang w:val="fr-FR"/>
        </w:rPr>
        <w:t>.</w:t>
      </w:r>
    </w:p>
    <w:p w:rsidR="004572C7" w:rsidRPr="007466E4" w:rsidRDefault="00655033" w:rsidP="0065503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 xml:space="preserve">Identifier et planifier les ressources supplémentaires nécessaires en termes de personnel (et de véhicules pour le personnel) pour gérer les opérations qui </w:t>
      </w:r>
      <w:r w:rsidR="007466E4" w:rsidRPr="007466E4">
        <w:rPr>
          <w:lang w:val="fr-FR"/>
        </w:rPr>
        <w:t xml:space="preserve">se déroulent </w:t>
      </w:r>
      <w:r w:rsidRPr="007466E4">
        <w:rPr>
          <w:lang w:val="fr-FR"/>
        </w:rPr>
        <w:t>la nuit</w:t>
      </w:r>
      <w:r w:rsidR="004572C7" w:rsidRPr="007466E4">
        <w:rPr>
          <w:lang w:val="fr-FR"/>
        </w:rPr>
        <w:t>.</w:t>
      </w:r>
    </w:p>
    <w:p w:rsidR="004572C7" w:rsidRPr="007466E4" w:rsidRDefault="00655033" w:rsidP="00655033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>Développer un calendrier de transport interne</w:t>
      </w:r>
      <w:r w:rsidR="004572C7" w:rsidRPr="007466E4">
        <w:rPr>
          <w:lang w:val="fr-FR"/>
        </w:rPr>
        <w:t>.</w:t>
      </w:r>
    </w:p>
    <w:p w:rsidR="006664DB" w:rsidRPr="007466E4" w:rsidRDefault="00655033" w:rsidP="00321FE3">
      <w:pPr>
        <w:pStyle w:val="ListParagraph"/>
        <w:numPr>
          <w:ilvl w:val="0"/>
          <w:numId w:val="8"/>
        </w:numPr>
        <w:spacing w:before="0" w:after="200" w:line="252" w:lineRule="auto"/>
        <w:ind w:left="720"/>
        <w:contextualSpacing w:val="0"/>
        <w:rPr>
          <w:lang w:val="fr-FR"/>
        </w:rPr>
      </w:pPr>
      <w:r w:rsidRPr="007466E4">
        <w:rPr>
          <w:lang w:val="fr-FR"/>
        </w:rPr>
        <w:t>Dans la mesure du possible, minimiser les coûts et les pertes de manutention en déchargeant directement les vivres du navire sur les camions à quai</w:t>
      </w:r>
      <w:r w:rsidR="006664DB" w:rsidRPr="007466E4">
        <w:rPr>
          <w:lang w:val="fr-FR"/>
        </w:rPr>
        <w:t>.</w:t>
      </w:r>
    </w:p>
    <w:p w:rsidR="002F5091" w:rsidRPr="007466E4" w:rsidRDefault="00655033" w:rsidP="0065503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>Assurer un transport adéquat chaque jour pour le chargement au quai et le nettoyage de l'</w:t>
      </w:r>
      <w:r w:rsidR="00F2403B" w:rsidRPr="007466E4">
        <w:rPr>
          <w:lang w:val="fr-FR"/>
        </w:rPr>
        <w:t>entrepôt</w:t>
      </w:r>
      <w:r w:rsidRPr="007466E4">
        <w:rPr>
          <w:lang w:val="fr-FR"/>
        </w:rPr>
        <w:t xml:space="preserve"> de stockage (le cas échéant). Les </w:t>
      </w:r>
      <w:r w:rsidR="00F2403B" w:rsidRPr="007466E4">
        <w:rPr>
          <w:lang w:val="fr-FR"/>
        </w:rPr>
        <w:t>entrepôts</w:t>
      </w:r>
      <w:r w:rsidRPr="007466E4">
        <w:rPr>
          <w:lang w:val="fr-FR"/>
        </w:rPr>
        <w:t xml:space="preserve"> de stockage portuaire sont généralement coûteux et mal entretenus, la sécurité est laxiste et la tenue de registres peut être inexacte. Eviter le stockage dans les </w:t>
      </w:r>
      <w:r w:rsidR="00F2403B" w:rsidRPr="007466E4">
        <w:rPr>
          <w:lang w:val="fr-FR"/>
        </w:rPr>
        <w:t>entrepôts</w:t>
      </w:r>
      <w:r w:rsidRPr="007466E4">
        <w:rPr>
          <w:lang w:val="fr-FR"/>
        </w:rPr>
        <w:t xml:space="preserve"> pendant plus d'une nuit</w:t>
      </w:r>
      <w:r w:rsidR="00871791" w:rsidRPr="007466E4">
        <w:rPr>
          <w:lang w:val="fr-FR"/>
        </w:rPr>
        <w:t>.</w:t>
      </w:r>
    </w:p>
    <w:p w:rsidR="004572C7" w:rsidRPr="007466E4" w:rsidRDefault="00F2403B" w:rsidP="00F2403B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>Déterminer la manœuvrabilité des camions pour éviter l’encombrement  au port</w:t>
      </w:r>
      <w:r w:rsidR="004572C7" w:rsidRPr="007466E4">
        <w:rPr>
          <w:lang w:val="fr-FR"/>
        </w:rPr>
        <w:t>.</w:t>
      </w:r>
    </w:p>
    <w:p w:rsidR="006664DB" w:rsidRPr="007466E4" w:rsidRDefault="007466E4" w:rsidP="00F2403B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 xml:space="preserve">Engager une compagnie </w:t>
      </w:r>
      <w:r w:rsidR="00F2403B" w:rsidRPr="007466E4">
        <w:rPr>
          <w:lang w:val="fr-FR"/>
        </w:rPr>
        <w:t xml:space="preserve">de transport </w:t>
      </w:r>
      <w:r w:rsidR="00033E4F" w:rsidRPr="007466E4">
        <w:rPr>
          <w:lang w:val="fr-FR"/>
        </w:rPr>
        <w:t>terrestre</w:t>
      </w:r>
      <w:r w:rsidR="00F2403B" w:rsidRPr="007466E4">
        <w:rPr>
          <w:lang w:val="fr-FR"/>
        </w:rPr>
        <w:t>, si cela n'est pas fait par le transitaire</w:t>
      </w:r>
      <w:r w:rsidR="006664DB" w:rsidRPr="007466E4">
        <w:rPr>
          <w:lang w:val="fr-FR"/>
        </w:rPr>
        <w:t>.</w:t>
      </w:r>
    </w:p>
    <w:p w:rsidR="004572C7" w:rsidRPr="007466E4" w:rsidRDefault="00F2403B" w:rsidP="00F2403B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lang w:val="fr-FR"/>
        </w:rPr>
      </w:pPr>
      <w:r w:rsidRPr="007466E4">
        <w:rPr>
          <w:lang w:val="fr-FR"/>
        </w:rPr>
        <w:t>Avertir les autorités locales à destination (pour les vivres transportés vers les pays enclavés)</w:t>
      </w:r>
      <w:r w:rsidR="008E6F4A" w:rsidRPr="007466E4">
        <w:rPr>
          <w:lang w:val="fr-FR"/>
        </w:rPr>
        <w:t>.</w:t>
      </w:r>
    </w:p>
    <w:sectPr w:rsidR="004572C7" w:rsidRPr="007466E4" w:rsidSect="000A533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18" w:rsidRDefault="00E06A18" w:rsidP="000A533C">
      <w:pPr>
        <w:spacing w:before="0" w:after="0"/>
      </w:pPr>
      <w:r>
        <w:separator/>
      </w:r>
    </w:p>
  </w:endnote>
  <w:endnote w:type="continuationSeparator" w:id="0">
    <w:p w:rsidR="00E06A18" w:rsidRDefault="00E06A18" w:rsidP="000A53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7498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A533C" w:rsidRPr="00810120" w:rsidRDefault="000A533C">
            <w:pPr>
              <w:pStyle w:val="Footer"/>
              <w:jc w:val="center"/>
            </w:pPr>
            <w:r w:rsidRPr="00810120">
              <w:t xml:space="preserve">Page </w:t>
            </w:r>
            <w:r w:rsidR="00EB7AB2" w:rsidRPr="00810120">
              <w:fldChar w:fldCharType="begin"/>
            </w:r>
            <w:r w:rsidRPr="00810120">
              <w:instrText xml:space="preserve"> PAGE </w:instrText>
            </w:r>
            <w:r w:rsidR="00EB7AB2" w:rsidRPr="00810120">
              <w:fldChar w:fldCharType="separate"/>
            </w:r>
            <w:r w:rsidR="00321FE3">
              <w:rPr>
                <w:noProof/>
              </w:rPr>
              <w:t>1</w:t>
            </w:r>
            <w:r w:rsidR="00EB7AB2" w:rsidRPr="00810120">
              <w:fldChar w:fldCharType="end"/>
            </w:r>
            <w:r w:rsidRPr="00810120">
              <w:t xml:space="preserve"> </w:t>
            </w:r>
            <w:r w:rsidR="00321FE3">
              <w:t>/</w:t>
            </w:r>
            <w:r w:rsidRPr="00810120">
              <w:t xml:space="preserve"> </w:t>
            </w:r>
            <w:r w:rsidR="00EB7AB2" w:rsidRPr="00810120">
              <w:fldChar w:fldCharType="begin"/>
            </w:r>
            <w:r w:rsidRPr="00810120">
              <w:instrText xml:space="preserve"> NUMPAGES  </w:instrText>
            </w:r>
            <w:r w:rsidR="00EB7AB2" w:rsidRPr="00810120">
              <w:fldChar w:fldCharType="separate"/>
            </w:r>
            <w:r w:rsidR="00321FE3">
              <w:rPr>
                <w:noProof/>
              </w:rPr>
              <w:t>1</w:t>
            </w:r>
            <w:r w:rsidR="00EB7AB2" w:rsidRPr="00810120">
              <w:fldChar w:fldCharType="end"/>
            </w:r>
          </w:p>
        </w:sdtContent>
      </w:sdt>
    </w:sdtContent>
  </w:sdt>
  <w:p w:rsidR="000A533C" w:rsidRDefault="000A5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18" w:rsidRDefault="00E06A18" w:rsidP="000A533C">
      <w:pPr>
        <w:spacing w:before="0" w:after="0"/>
      </w:pPr>
      <w:r>
        <w:separator/>
      </w:r>
    </w:p>
  </w:footnote>
  <w:footnote w:type="continuationSeparator" w:id="0">
    <w:p w:rsidR="00E06A18" w:rsidRDefault="00E06A18" w:rsidP="000A53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3C" w:rsidRPr="00033E4F" w:rsidRDefault="00033E4F" w:rsidP="00810120">
    <w:pPr>
      <w:jc w:val="center"/>
      <w:rPr>
        <w:lang w:val="fr-FR"/>
      </w:rPr>
    </w:pPr>
    <w:r>
      <w:rPr>
        <w:b/>
        <w:color w:val="237990"/>
        <w:sz w:val="28"/>
        <w:szCs w:val="28"/>
        <w:lang w:val="fr-FR"/>
      </w:rPr>
      <w:t>DIRECTIVES sur la planification de déchargement et d’expédition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C32"/>
    <w:multiLevelType w:val="hybridMultilevel"/>
    <w:tmpl w:val="002AC936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67D41"/>
    <w:multiLevelType w:val="hybridMultilevel"/>
    <w:tmpl w:val="DDE66436"/>
    <w:lvl w:ilvl="0" w:tplc="3BBE3C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273887"/>
    <w:multiLevelType w:val="hybridMultilevel"/>
    <w:tmpl w:val="8ACE9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176C6D"/>
    <w:multiLevelType w:val="hybridMultilevel"/>
    <w:tmpl w:val="A7B2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15FD"/>
    <w:multiLevelType w:val="hybridMultilevel"/>
    <w:tmpl w:val="6DDAA9E8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56BA"/>
    <w:multiLevelType w:val="hybridMultilevel"/>
    <w:tmpl w:val="C62CFDD2"/>
    <w:lvl w:ilvl="0" w:tplc="3BBE3C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AC4B4A"/>
    <w:multiLevelType w:val="hybridMultilevel"/>
    <w:tmpl w:val="1B10867E"/>
    <w:lvl w:ilvl="0" w:tplc="FF5C3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93D29"/>
    <w:multiLevelType w:val="hybridMultilevel"/>
    <w:tmpl w:val="38160F64"/>
    <w:lvl w:ilvl="0" w:tplc="3BBE3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4A4"/>
    <w:rsid w:val="00026341"/>
    <w:rsid w:val="00027CB4"/>
    <w:rsid w:val="00033E4F"/>
    <w:rsid w:val="0003546D"/>
    <w:rsid w:val="000A533C"/>
    <w:rsid w:val="000B75D5"/>
    <w:rsid w:val="000C1E2C"/>
    <w:rsid w:val="000E188C"/>
    <w:rsid w:val="00154F97"/>
    <w:rsid w:val="00165D64"/>
    <w:rsid w:val="001F7EF6"/>
    <w:rsid w:val="002203B5"/>
    <w:rsid w:val="00220D4B"/>
    <w:rsid w:val="002243F3"/>
    <w:rsid w:val="002305AD"/>
    <w:rsid w:val="00230F56"/>
    <w:rsid w:val="002648C8"/>
    <w:rsid w:val="00282F7F"/>
    <w:rsid w:val="00293F43"/>
    <w:rsid w:val="002B4B26"/>
    <w:rsid w:val="002E0D1A"/>
    <w:rsid w:val="002F3F4E"/>
    <w:rsid w:val="002F5091"/>
    <w:rsid w:val="00317A90"/>
    <w:rsid w:val="00320A50"/>
    <w:rsid w:val="00321FE3"/>
    <w:rsid w:val="00324F61"/>
    <w:rsid w:val="00341B54"/>
    <w:rsid w:val="0034213E"/>
    <w:rsid w:val="00371343"/>
    <w:rsid w:val="003942ED"/>
    <w:rsid w:val="003C05C9"/>
    <w:rsid w:val="003C4C78"/>
    <w:rsid w:val="00401AAE"/>
    <w:rsid w:val="00404A18"/>
    <w:rsid w:val="00407BBC"/>
    <w:rsid w:val="00432823"/>
    <w:rsid w:val="004572C7"/>
    <w:rsid w:val="00460F6A"/>
    <w:rsid w:val="004D7A0B"/>
    <w:rsid w:val="004E103B"/>
    <w:rsid w:val="005018E7"/>
    <w:rsid w:val="005A24A4"/>
    <w:rsid w:val="005B721B"/>
    <w:rsid w:val="005E22AD"/>
    <w:rsid w:val="005E5C97"/>
    <w:rsid w:val="00612D0A"/>
    <w:rsid w:val="00622A48"/>
    <w:rsid w:val="00655033"/>
    <w:rsid w:val="006664DB"/>
    <w:rsid w:val="006F01F2"/>
    <w:rsid w:val="0071771E"/>
    <w:rsid w:val="00744E44"/>
    <w:rsid w:val="007466E4"/>
    <w:rsid w:val="00746EEF"/>
    <w:rsid w:val="0075402B"/>
    <w:rsid w:val="0079119D"/>
    <w:rsid w:val="007A2B03"/>
    <w:rsid w:val="007E5604"/>
    <w:rsid w:val="00810120"/>
    <w:rsid w:val="00827001"/>
    <w:rsid w:val="00871791"/>
    <w:rsid w:val="008809B5"/>
    <w:rsid w:val="008E24EA"/>
    <w:rsid w:val="008E6F4A"/>
    <w:rsid w:val="00912DFC"/>
    <w:rsid w:val="00977121"/>
    <w:rsid w:val="009D228A"/>
    <w:rsid w:val="009E3B8C"/>
    <w:rsid w:val="00A06C89"/>
    <w:rsid w:val="00A16626"/>
    <w:rsid w:val="00A50D0C"/>
    <w:rsid w:val="00A55515"/>
    <w:rsid w:val="00A61817"/>
    <w:rsid w:val="00BA0140"/>
    <w:rsid w:val="00BA4193"/>
    <w:rsid w:val="00BA5D58"/>
    <w:rsid w:val="00BB2308"/>
    <w:rsid w:val="00CA502F"/>
    <w:rsid w:val="00CC693D"/>
    <w:rsid w:val="00D24D44"/>
    <w:rsid w:val="00D4309A"/>
    <w:rsid w:val="00DB2E0F"/>
    <w:rsid w:val="00DF0996"/>
    <w:rsid w:val="00DF40BC"/>
    <w:rsid w:val="00E06A18"/>
    <w:rsid w:val="00E50091"/>
    <w:rsid w:val="00E80F4C"/>
    <w:rsid w:val="00E96CB3"/>
    <w:rsid w:val="00EB7AB2"/>
    <w:rsid w:val="00F2403B"/>
    <w:rsid w:val="00F855CA"/>
    <w:rsid w:val="00F873BF"/>
    <w:rsid w:val="00FD5555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53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533C"/>
  </w:style>
  <w:style w:type="paragraph" w:styleId="Footer">
    <w:name w:val="footer"/>
    <w:basedOn w:val="Normal"/>
    <w:link w:val="FooterChar"/>
    <w:uiPriority w:val="99"/>
    <w:unhideWhenUsed/>
    <w:rsid w:val="000A53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533C"/>
  </w:style>
  <w:style w:type="paragraph" w:styleId="BalloonText">
    <w:name w:val="Balloon Text"/>
    <w:basedOn w:val="Normal"/>
    <w:link w:val="BalloonTextChar"/>
    <w:uiPriority w:val="99"/>
    <w:semiHidden/>
    <w:unhideWhenUsed/>
    <w:rsid w:val="000A53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2016-06-05T15:24:00Z</cp:lastPrinted>
  <dcterms:created xsi:type="dcterms:W3CDTF">2018-01-30T13:56:00Z</dcterms:created>
  <dcterms:modified xsi:type="dcterms:W3CDTF">2018-02-05T16:02:00Z</dcterms:modified>
</cp:coreProperties>
</file>