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E7" w:rsidRPr="00990A07" w:rsidRDefault="00E44169" w:rsidP="0062548C">
      <w:pPr>
        <w:spacing w:before="0" w:after="200" w:line="252" w:lineRule="auto"/>
        <w:rPr>
          <w:lang w:val="fr-FR"/>
        </w:rPr>
      </w:pPr>
      <w:r w:rsidRPr="00990A07">
        <w:rPr>
          <w:lang w:val="fr-FR"/>
        </w:rPr>
        <w:t>Un fichier de transport doit contenir les documents suivants relatifs à chaque</w:t>
      </w:r>
      <w:r w:rsidR="00DB0399" w:rsidRPr="00990A07">
        <w:rPr>
          <w:lang w:val="fr-FR"/>
        </w:rPr>
        <w:t xml:space="preserve"> fret</w:t>
      </w:r>
      <w:r w:rsidRPr="00990A07">
        <w:rPr>
          <w:lang w:val="fr-FR"/>
        </w:rPr>
        <w:t xml:space="preserve"> </w:t>
      </w:r>
      <w:r w:rsidR="00AB21FA" w:rsidRPr="00990A07">
        <w:rPr>
          <w:lang w:val="fr-FR"/>
        </w:rPr>
        <w:t>arriv</w:t>
      </w:r>
      <w:r w:rsidRPr="00990A07">
        <w:rPr>
          <w:lang w:val="fr-FR"/>
        </w:rPr>
        <w:t>ant dans le pays</w:t>
      </w:r>
      <w:r w:rsidR="005A40E7" w:rsidRPr="00990A07">
        <w:rPr>
          <w:lang w:val="fr-FR"/>
        </w:rPr>
        <w:t>.</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8595"/>
      </w:tblGrid>
      <w:tr w:rsidR="00AD2649" w:rsidRPr="00990A07" w:rsidTr="00E00FDC">
        <w:trPr>
          <w:trHeight w:val="1125"/>
        </w:trPr>
        <w:tc>
          <w:tcPr>
            <w:tcW w:w="9243" w:type="dxa"/>
            <w:gridSpan w:val="2"/>
          </w:tcPr>
          <w:p w:rsidR="00AD2649" w:rsidRPr="00990A07" w:rsidRDefault="00E44169" w:rsidP="00E00FDC">
            <w:pPr>
              <w:spacing w:before="240" w:after="60" w:line="252" w:lineRule="auto"/>
              <w:rPr>
                <w:b/>
                <w:bCs/>
                <w:color w:val="237990"/>
                <w:sz w:val="24"/>
                <w:szCs w:val="24"/>
                <w:lang w:val="fr-FR"/>
              </w:rPr>
            </w:pPr>
            <w:r w:rsidRPr="00990A07">
              <w:rPr>
                <w:b/>
                <w:color w:val="237990"/>
                <w:sz w:val="24"/>
                <w:szCs w:val="24"/>
                <w:lang w:val="fr-FR"/>
              </w:rPr>
              <w:t>Envoyé habituellement</w:t>
            </w:r>
            <w:r w:rsidR="00E00FDC">
              <w:rPr>
                <w:b/>
                <w:color w:val="237990"/>
                <w:sz w:val="24"/>
                <w:szCs w:val="24"/>
                <w:lang w:val="fr-FR"/>
              </w:rPr>
              <w:t xml:space="preserve"> au transitaire</w:t>
            </w:r>
            <w:r w:rsidRPr="00990A07">
              <w:rPr>
                <w:b/>
                <w:color w:val="237990"/>
                <w:sz w:val="24"/>
                <w:szCs w:val="24"/>
                <w:lang w:val="fr-FR"/>
              </w:rPr>
              <w:t xml:space="preserve"> </w:t>
            </w:r>
            <w:r w:rsidR="00E00FDC">
              <w:rPr>
                <w:b/>
                <w:color w:val="237990"/>
                <w:sz w:val="24"/>
                <w:szCs w:val="24"/>
                <w:lang w:val="fr-FR"/>
              </w:rPr>
              <w:t xml:space="preserve">de l’organisme récipiendaire </w:t>
            </w:r>
            <w:r w:rsidRPr="00990A07">
              <w:rPr>
                <w:b/>
                <w:color w:val="237990"/>
                <w:sz w:val="24"/>
                <w:szCs w:val="24"/>
                <w:lang w:val="fr-FR"/>
              </w:rPr>
              <w:t xml:space="preserve">via le siège de la compagnie de fret </w:t>
            </w:r>
            <w:r w:rsidR="00E00FDC">
              <w:rPr>
                <w:b/>
                <w:color w:val="237990"/>
                <w:sz w:val="24"/>
                <w:szCs w:val="24"/>
                <w:lang w:val="fr-FR"/>
              </w:rPr>
              <w:t xml:space="preserve">qu’il a engagé  </w:t>
            </w:r>
          </w:p>
        </w:tc>
      </w:tr>
      <w:tr w:rsidR="002C0525" w:rsidRPr="00990A07" w:rsidTr="002C0525">
        <w:tc>
          <w:tcPr>
            <w:tcW w:w="648" w:type="dxa"/>
          </w:tcPr>
          <w:p w:rsidR="002C0525" w:rsidRPr="00990A07" w:rsidRDefault="002C0525" w:rsidP="005D4C6A">
            <w:pPr>
              <w:spacing w:after="40"/>
              <w:rPr>
                <w:sz w:val="28"/>
                <w:szCs w:val="28"/>
                <w:lang w:val="fr-FR"/>
              </w:rPr>
            </w:pPr>
            <w:r w:rsidRPr="00990A07">
              <w:rPr>
                <w:sz w:val="28"/>
                <w:szCs w:val="28"/>
                <w:lang w:val="fr-FR"/>
              </w:rPr>
              <w:sym w:font="Webdings" w:char="F063"/>
            </w:r>
          </w:p>
        </w:tc>
        <w:tc>
          <w:tcPr>
            <w:tcW w:w="8595" w:type="dxa"/>
          </w:tcPr>
          <w:p w:rsidR="002C0525" w:rsidRPr="00990A07" w:rsidRDefault="00D1242C" w:rsidP="00D1242C">
            <w:pPr>
              <w:spacing w:after="40"/>
              <w:rPr>
                <w:b/>
                <w:bCs/>
                <w:lang w:val="fr-FR"/>
              </w:rPr>
            </w:pPr>
            <w:r>
              <w:rPr>
                <w:b/>
                <w:bCs/>
                <w:lang w:val="fr-FR"/>
              </w:rPr>
              <w:t xml:space="preserve">Le contrat de </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D1242C" w:rsidP="00D1242C">
            <w:pPr>
              <w:spacing w:after="40"/>
              <w:rPr>
                <w:lang w:val="fr-FR"/>
              </w:rPr>
            </w:pPr>
            <w:r>
              <w:rPr>
                <w:b/>
                <w:lang w:val="fr-FR"/>
              </w:rPr>
              <w:t>L’e</w:t>
            </w:r>
            <w:r w:rsidR="00E44169" w:rsidRPr="00990A07">
              <w:rPr>
                <w:b/>
                <w:lang w:val="fr-FR"/>
              </w:rPr>
              <w:t>ngagement de fret</w:t>
            </w:r>
            <w:r w:rsidR="002C0525" w:rsidRPr="00990A07">
              <w:rPr>
                <w:b/>
                <w:lang w:val="fr-FR"/>
              </w:rPr>
              <w:t xml:space="preserve"> </w:t>
            </w:r>
            <w:r w:rsidR="002C0525" w:rsidRPr="00990A07">
              <w:rPr>
                <w:lang w:val="fr-FR"/>
              </w:rPr>
              <w:t>(</w:t>
            </w:r>
            <w:r w:rsidR="00E44169" w:rsidRPr="00990A07">
              <w:rPr>
                <w:lang w:val="fr-FR"/>
              </w:rPr>
              <w:t>contrat de réservation de fret international spécifique aux vivres emballés</w:t>
            </w:r>
            <w:r w:rsidR="002C0525" w:rsidRPr="00990A07">
              <w:rPr>
                <w:lang w:val="fr-FR"/>
              </w:rPr>
              <w:t>)</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D1242C" w:rsidP="00D1242C">
            <w:pPr>
              <w:spacing w:after="40"/>
              <w:rPr>
                <w:lang w:val="fr-FR"/>
              </w:rPr>
            </w:pPr>
            <w:r>
              <w:rPr>
                <w:b/>
                <w:lang w:val="fr-FR"/>
              </w:rPr>
              <w:t>Le c</w:t>
            </w:r>
            <w:r w:rsidR="00E44169" w:rsidRPr="00990A07">
              <w:rPr>
                <w:b/>
                <w:lang w:val="fr-FR"/>
              </w:rPr>
              <w:t>ontrat d’</w:t>
            </w:r>
            <w:r w:rsidR="00990A07" w:rsidRPr="00990A07">
              <w:rPr>
                <w:b/>
                <w:lang w:val="fr-FR"/>
              </w:rPr>
              <w:t>affrètement</w:t>
            </w:r>
            <w:r w:rsidR="002C0525" w:rsidRPr="00990A07">
              <w:rPr>
                <w:b/>
                <w:lang w:val="fr-FR"/>
              </w:rPr>
              <w:t xml:space="preserve"> </w:t>
            </w:r>
            <w:r w:rsidR="002C0525" w:rsidRPr="00990A07">
              <w:rPr>
                <w:lang w:val="fr-FR"/>
              </w:rPr>
              <w:t>(</w:t>
            </w:r>
            <w:r w:rsidR="00E44169" w:rsidRPr="00990A07">
              <w:rPr>
                <w:lang w:val="fr-FR"/>
              </w:rPr>
              <w:t xml:space="preserve">contrat de réservation de fret international pour </w:t>
            </w:r>
            <w:r w:rsidR="00AB21FA" w:rsidRPr="00990A07">
              <w:rPr>
                <w:lang w:val="fr-FR"/>
              </w:rPr>
              <w:t>les vivres</w:t>
            </w:r>
            <w:r w:rsidR="00E44169" w:rsidRPr="00990A07">
              <w:rPr>
                <w:lang w:val="fr-FR"/>
              </w:rPr>
              <w:t xml:space="preserve"> en vrac</w:t>
            </w:r>
            <w:r w:rsidR="002C0525" w:rsidRPr="00990A07">
              <w:rPr>
                <w:lang w:val="fr-FR"/>
              </w:rPr>
              <w:t>)</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AB21FA" w:rsidP="005D4C6A">
            <w:pPr>
              <w:spacing w:after="40"/>
              <w:rPr>
                <w:b/>
                <w:lang w:val="fr-FR"/>
              </w:rPr>
            </w:pPr>
            <w:r w:rsidRPr="00990A07">
              <w:rPr>
                <w:b/>
                <w:lang w:val="fr-FR"/>
              </w:rPr>
              <w:t>Tous les avis de transmission</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AB21FA" w:rsidP="0062548C">
            <w:pPr>
              <w:spacing w:after="0"/>
              <w:rPr>
                <w:lang w:val="fr-FR"/>
              </w:rPr>
            </w:pPr>
            <w:r w:rsidRPr="00990A07">
              <w:rPr>
                <w:b/>
                <w:lang w:val="fr-FR"/>
              </w:rPr>
              <w:t xml:space="preserve">Toute correspondance avec la compagnie </w:t>
            </w:r>
            <w:r w:rsidR="00990A07" w:rsidRPr="00990A07">
              <w:rPr>
                <w:b/>
                <w:lang w:val="fr-FR"/>
              </w:rPr>
              <w:t xml:space="preserve">de fret </w:t>
            </w:r>
            <w:r w:rsidRPr="00990A07">
              <w:rPr>
                <w:b/>
                <w:lang w:val="fr-FR"/>
              </w:rPr>
              <w:t>maritime, le FFP, les autorités gouvernementales et le transporteur</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990A07" w:rsidRPr="00990A07" w:rsidRDefault="00AB21FA" w:rsidP="00AB21FA">
            <w:pPr>
              <w:spacing w:before="60" w:after="0"/>
              <w:rPr>
                <w:lang w:val="fr-FR"/>
              </w:rPr>
            </w:pPr>
            <w:r w:rsidRPr="00990A07">
              <w:rPr>
                <w:b/>
                <w:lang w:val="fr-FR"/>
              </w:rPr>
              <w:t xml:space="preserve">Le Connaissement </w:t>
            </w:r>
            <w:r w:rsidRPr="00990A07">
              <w:rPr>
                <w:lang w:val="fr-FR"/>
              </w:rPr>
              <w:t xml:space="preserve">(document juridique indiquant le titre du fret, utilisé par les compagnies maritimes pour définir les termes et conditions dans lesquelles elles acceptent la cargaison pour l'expédition) </w:t>
            </w:r>
          </w:p>
          <w:p w:rsidR="002C0525" w:rsidRPr="00990A07" w:rsidRDefault="00AB21FA" w:rsidP="00AB21FA">
            <w:pPr>
              <w:spacing w:before="60" w:after="0"/>
              <w:rPr>
                <w:lang w:val="fr-FR"/>
              </w:rPr>
            </w:pPr>
            <w:r w:rsidRPr="00990A07">
              <w:rPr>
                <w:lang w:val="fr-FR"/>
              </w:rPr>
              <w:t>Le connaissement est utilisé pour le dédouanement et l'évaluation des taxes et redevances portuaires. Toutes les réclamations ou actions contre une compagnie maritime sont basées sur les informations contenues dans le connaissement</w:t>
            </w:r>
            <w:r w:rsidRPr="00990A07">
              <w:rPr>
                <w:b/>
                <w:lang w:val="fr-FR"/>
              </w:rPr>
              <w:t>.</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62548C" w:rsidRPr="00D1242C" w:rsidRDefault="00DB0399" w:rsidP="0062548C">
            <w:pPr>
              <w:spacing w:after="0"/>
              <w:rPr>
                <w:lang w:val="fr-FR"/>
              </w:rPr>
            </w:pPr>
            <w:r w:rsidRPr="00990A07">
              <w:rPr>
                <w:b/>
                <w:lang w:val="fr-FR"/>
              </w:rPr>
              <w:t>Le certificat</w:t>
            </w:r>
            <w:r w:rsidR="00AB21FA" w:rsidRPr="00990A07">
              <w:rPr>
                <w:b/>
                <w:lang w:val="fr-FR"/>
              </w:rPr>
              <w:t xml:space="preserve"> </w:t>
            </w:r>
            <w:r w:rsidR="00AB21FA" w:rsidRPr="00D1242C">
              <w:rPr>
                <w:b/>
                <w:lang w:val="fr-FR"/>
              </w:rPr>
              <w:t>d’</w:t>
            </w:r>
            <w:r w:rsidR="00DD4B86" w:rsidRPr="00D1242C">
              <w:rPr>
                <w:b/>
                <w:lang w:val="fr-FR"/>
              </w:rPr>
              <w:t>o</w:t>
            </w:r>
            <w:r w:rsidR="002C0525" w:rsidRPr="00D1242C">
              <w:rPr>
                <w:b/>
                <w:lang w:val="fr-FR"/>
              </w:rPr>
              <w:t>rigin</w:t>
            </w:r>
            <w:r w:rsidR="00AB21FA" w:rsidRPr="00D1242C">
              <w:rPr>
                <w:b/>
                <w:lang w:val="fr-FR"/>
              </w:rPr>
              <w:t>e</w:t>
            </w:r>
            <w:r w:rsidR="002C0525" w:rsidRPr="00D1242C">
              <w:rPr>
                <w:b/>
                <w:lang w:val="fr-FR"/>
              </w:rPr>
              <w:t xml:space="preserve"> </w:t>
            </w:r>
            <w:r w:rsidR="002C0525" w:rsidRPr="00D1242C">
              <w:rPr>
                <w:lang w:val="fr-FR"/>
              </w:rPr>
              <w:t>(</w:t>
            </w:r>
            <w:r w:rsidR="00FA320B" w:rsidRPr="00D1242C">
              <w:rPr>
                <w:lang w:val="fr-FR"/>
              </w:rPr>
              <w:t>document con</w:t>
            </w:r>
            <w:r w:rsidR="00D1242C">
              <w:rPr>
                <w:lang w:val="fr-FR"/>
              </w:rPr>
              <w:t>tenant un affidavit prouvant</w:t>
            </w:r>
            <w:r w:rsidR="00FA320B" w:rsidRPr="00D1242C">
              <w:rPr>
                <w:lang w:val="fr-FR"/>
              </w:rPr>
              <w:t xml:space="preserve"> l'origine des marchandises importées </w:t>
            </w:r>
            <w:r w:rsidRPr="00D1242C">
              <w:rPr>
                <w:rFonts w:ascii="Segoe UI" w:hAnsi="Segoe UI" w:cs="Segoe UI"/>
                <w:sz w:val="20"/>
                <w:szCs w:val="20"/>
                <w:shd w:val="clear" w:color="auto" w:fill="FFFFFF"/>
                <w:lang w:val="fr-FR"/>
              </w:rPr>
              <w:t>à des fins douanières ou de change, ou les deux</w:t>
            </w:r>
            <w:r w:rsidR="0062548C" w:rsidRPr="00D1242C">
              <w:rPr>
                <w:lang w:val="fr-FR"/>
              </w:rPr>
              <w:t>)</w:t>
            </w:r>
          </w:p>
          <w:p w:rsidR="002C0525" w:rsidRPr="00990A07" w:rsidRDefault="00FA320B" w:rsidP="00FA320B">
            <w:pPr>
              <w:spacing w:before="60" w:after="0"/>
              <w:rPr>
                <w:b/>
                <w:lang w:val="fr-FR"/>
              </w:rPr>
            </w:pPr>
            <w:r w:rsidRPr="00D1242C">
              <w:rPr>
                <w:lang w:val="fr-FR"/>
              </w:rPr>
              <w:t>Les certificats d'origine sont généralement certifiés par une organisation officielle</w:t>
            </w:r>
            <w:r w:rsidRPr="00990A07">
              <w:rPr>
                <w:lang w:val="fr-FR"/>
              </w:rPr>
              <w:t xml:space="preserve"> dans le pays d'origine, tel qu'un bureau consulaire ou une chambre de commerce</w:t>
            </w:r>
            <w:r w:rsidR="002C0525" w:rsidRPr="00990A07">
              <w:rPr>
                <w:lang w:val="fr-FR"/>
              </w:rPr>
              <w:t>.</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62548C" w:rsidRPr="00990A07" w:rsidRDefault="00D1242C" w:rsidP="0062548C">
            <w:pPr>
              <w:spacing w:after="0"/>
              <w:rPr>
                <w:lang w:val="fr-FR"/>
              </w:rPr>
            </w:pPr>
            <w:r>
              <w:rPr>
                <w:b/>
                <w:lang w:val="fr-FR"/>
              </w:rPr>
              <w:t>La f</w:t>
            </w:r>
            <w:r w:rsidR="00FA320B" w:rsidRPr="00990A07">
              <w:rPr>
                <w:b/>
                <w:lang w:val="fr-FR"/>
              </w:rPr>
              <w:t xml:space="preserve">acture commerciale / facture pro-forma </w:t>
            </w:r>
            <w:r w:rsidR="002C0525" w:rsidRPr="00990A07">
              <w:rPr>
                <w:bCs/>
                <w:lang w:val="fr-FR"/>
              </w:rPr>
              <w:t>(</w:t>
            </w:r>
            <w:r w:rsidR="00FA320B" w:rsidRPr="00990A07">
              <w:rPr>
                <w:lang w:val="fr-FR"/>
              </w:rPr>
              <w:t>do</w:t>
            </w:r>
            <w:r w:rsidR="00DB0399" w:rsidRPr="00990A07">
              <w:rPr>
                <w:lang w:val="fr-FR"/>
              </w:rPr>
              <w:t>cument indiquant la quantité, du</w:t>
            </w:r>
            <w:r w:rsidR="00FA320B" w:rsidRPr="00990A07">
              <w:rPr>
                <w:lang w:val="fr-FR"/>
              </w:rPr>
              <w:t xml:space="preserve"> coût, </w:t>
            </w:r>
            <w:r w:rsidR="00DB0399" w:rsidRPr="00990A07">
              <w:rPr>
                <w:lang w:val="fr-FR"/>
              </w:rPr>
              <w:t xml:space="preserve">de </w:t>
            </w:r>
            <w:r w:rsidR="00FA320B" w:rsidRPr="00990A07">
              <w:rPr>
                <w:lang w:val="fr-FR"/>
              </w:rPr>
              <w:t xml:space="preserve">l'assurance et </w:t>
            </w:r>
            <w:r w:rsidR="00DB0399" w:rsidRPr="00990A07">
              <w:rPr>
                <w:lang w:val="fr-FR"/>
              </w:rPr>
              <w:t>de l’acheminement de</w:t>
            </w:r>
            <w:r w:rsidR="00FA320B" w:rsidRPr="00990A07">
              <w:rPr>
                <w:lang w:val="fr-FR"/>
              </w:rPr>
              <w:t xml:space="preserve"> la cargaison livrée au port</w:t>
            </w:r>
            <w:r w:rsidR="0062548C" w:rsidRPr="00990A07">
              <w:rPr>
                <w:lang w:val="fr-FR"/>
              </w:rPr>
              <w:t>)</w:t>
            </w:r>
          </w:p>
          <w:p w:rsidR="002C0525" w:rsidRPr="00990A07" w:rsidRDefault="00FA320B" w:rsidP="00FA320B">
            <w:pPr>
              <w:spacing w:before="60" w:after="0"/>
              <w:rPr>
                <w:lang w:val="fr-FR"/>
              </w:rPr>
            </w:pPr>
            <w:r w:rsidRPr="00990A07">
              <w:rPr>
                <w:lang w:val="fr-FR"/>
              </w:rPr>
              <w:t xml:space="preserve">Elle fait  généralement l’objet d’une utilisation de base pour la déclaration en douane et </w:t>
            </w:r>
            <w:r w:rsidR="00DB0399" w:rsidRPr="00990A07">
              <w:rPr>
                <w:lang w:val="fr-FR"/>
              </w:rPr>
              <w:t>les frais d</w:t>
            </w:r>
            <w:r w:rsidRPr="00990A07">
              <w:rPr>
                <w:lang w:val="fr-FR"/>
              </w:rPr>
              <w:t xml:space="preserve">'assurance, même si les vivres sont un don et </w:t>
            </w:r>
            <w:r w:rsidR="00DB0399" w:rsidRPr="00990A07">
              <w:rPr>
                <w:lang w:val="fr-FR"/>
              </w:rPr>
              <w:t>que le transport est gratuit</w:t>
            </w:r>
            <w:r w:rsidR="0062548C" w:rsidRPr="00990A07">
              <w:rPr>
                <w:lang w:val="fr-FR"/>
              </w:rPr>
              <w:t>.</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245309" w:rsidP="00C74FE0">
            <w:pPr>
              <w:spacing w:after="0"/>
              <w:rPr>
                <w:lang w:val="fr-FR"/>
              </w:rPr>
            </w:pPr>
            <w:r w:rsidRPr="00990A07">
              <w:rPr>
                <w:b/>
                <w:bCs/>
                <w:lang w:val="fr-FR"/>
              </w:rPr>
              <w:t xml:space="preserve">Le certificat </w:t>
            </w:r>
            <w:r w:rsidR="00DB0399" w:rsidRPr="00990A07">
              <w:rPr>
                <w:b/>
                <w:bCs/>
                <w:lang w:val="fr-FR"/>
              </w:rPr>
              <w:t>de don</w:t>
            </w:r>
            <w:r w:rsidRPr="00990A07">
              <w:rPr>
                <w:b/>
                <w:bCs/>
                <w:lang w:val="fr-FR"/>
              </w:rPr>
              <w:t xml:space="preserve">/ la lettre de don </w:t>
            </w:r>
            <w:r w:rsidR="002C0525" w:rsidRPr="00990A07">
              <w:rPr>
                <w:bCs/>
                <w:lang w:val="fr-FR"/>
              </w:rPr>
              <w:t>(</w:t>
            </w:r>
            <w:r w:rsidRPr="00990A07">
              <w:rPr>
                <w:lang w:val="fr-FR"/>
              </w:rPr>
              <w:t xml:space="preserve">document </w:t>
            </w:r>
            <w:r w:rsidR="00DB0399" w:rsidRPr="00990A07">
              <w:rPr>
                <w:lang w:val="fr-FR"/>
              </w:rPr>
              <w:t>émis</w:t>
            </w:r>
            <w:r w:rsidRPr="00990A07">
              <w:rPr>
                <w:lang w:val="fr-FR"/>
              </w:rPr>
              <w:t xml:space="preserve"> par l'expéditeur, indiquant que la cargaison sera </w:t>
            </w:r>
            <w:r w:rsidR="00C74FE0" w:rsidRPr="00990A07">
              <w:rPr>
                <w:lang w:val="fr-FR"/>
              </w:rPr>
              <w:t xml:space="preserve">distribuée </w:t>
            </w:r>
            <w:r w:rsidR="00DB0399" w:rsidRPr="00990A07">
              <w:rPr>
                <w:lang w:val="fr-FR"/>
              </w:rPr>
              <w:t xml:space="preserve">gratuitement </w:t>
            </w:r>
            <w:r w:rsidRPr="00990A07">
              <w:rPr>
                <w:lang w:val="fr-FR"/>
              </w:rPr>
              <w:t xml:space="preserve">et / ou </w:t>
            </w:r>
            <w:r w:rsidR="00C74FE0" w:rsidRPr="00990A07">
              <w:rPr>
                <w:lang w:val="fr-FR"/>
              </w:rPr>
              <w:t xml:space="preserve">utilisée </w:t>
            </w:r>
            <w:r w:rsidRPr="00990A07">
              <w:rPr>
                <w:lang w:val="fr-FR"/>
              </w:rPr>
              <w:t xml:space="preserve">pour </w:t>
            </w:r>
            <w:r w:rsidR="00C74FE0" w:rsidRPr="00990A07">
              <w:rPr>
                <w:lang w:val="fr-FR"/>
              </w:rPr>
              <w:t>un</w:t>
            </w:r>
            <w:r w:rsidRPr="00990A07">
              <w:rPr>
                <w:lang w:val="fr-FR"/>
              </w:rPr>
              <w:t xml:space="preserve"> programme de secours</w:t>
            </w:r>
            <w:r w:rsidR="00C74FE0" w:rsidRPr="00990A07">
              <w:rPr>
                <w:lang w:val="fr-FR"/>
              </w:rPr>
              <w:t xml:space="preserve"> d’urgence</w:t>
            </w:r>
            <w:r w:rsidRPr="00990A07">
              <w:rPr>
                <w:lang w:val="fr-FR"/>
              </w:rPr>
              <w:t xml:space="preserve">, et </w:t>
            </w:r>
            <w:r w:rsidR="00C74FE0" w:rsidRPr="00990A07">
              <w:rPr>
                <w:lang w:val="fr-FR"/>
              </w:rPr>
              <w:t xml:space="preserve">qu’elle </w:t>
            </w:r>
            <w:r w:rsidRPr="00990A07">
              <w:rPr>
                <w:lang w:val="fr-FR"/>
              </w:rPr>
              <w:t>n'est pas destinée à la revente dans le pays</w:t>
            </w:r>
            <w:r w:rsidR="00C74FE0" w:rsidRPr="00990A07">
              <w:rPr>
                <w:lang w:val="fr-FR"/>
              </w:rPr>
              <w:t xml:space="preserve"> de livraison</w:t>
            </w:r>
            <w:r w:rsidR="002C0525" w:rsidRPr="00990A07">
              <w:rPr>
                <w:lang w:val="fr-FR"/>
              </w:rPr>
              <w:t>)</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D1242C" w:rsidP="00C74FE0">
            <w:pPr>
              <w:spacing w:after="0"/>
              <w:rPr>
                <w:lang w:val="fr-FR"/>
              </w:rPr>
            </w:pPr>
            <w:r>
              <w:rPr>
                <w:b/>
                <w:bCs/>
                <w:lang w:val="fr-FR"/>
              </w:rPr>
              <w:t>Le c</w:t>
            </w:r>
            <w:r w:rsidR="00245309" w:rsidRPr="00990A07">
              <w:rPr>
                <w:b/>
                <w:bCs/>
                <w:lang w:val="fr-FR"/>
              </w:rPr>
              <w:t>ertificat phytosanitaire</w:t>
            </w:r>
            <w:r w:rsidR="002C0525" w:rsidRPr="00990A07">
              <w:rPr>
                <w:bCs/>
                <w:lang w:val="fr-FR"/>
              </w:rPr>
              <w:t xml:space="preserve"> (</w:t>
            </w:r>
            <w:r w:rsidR="00245309" w:rsidRPr="00990A07">
              <w:rPr>
                <w:lang w:val="fr-FR"/>
              </w:rPr>
              <w:t xml:space="preserve">certificat délivré par l'USDA pour les </w:t>
            </w:r>
            <w:r w:rsidR="00990A07" w:rsidRPr="00990A07">
              <w:rPr>
                <w:lang w:val="fr-FR"/>
              </w:rPr>
              <w:t>vivres expédiés depuis les États-Unis, indiquant que la cargaison est propre à la consommation humaine et n’est</w:t>
            </w:r>
            <w:r w:rsidR="00C74FE0" w:rsidRPr="00990A07">
              <w:rPr>
                <w:lang w:val="fr-FR"/>
              </w:rPr>
              <w:t xml:space="preserve"> contaminée par </w:t>
            </w:r>
            <w:r w:rsidR="00990A07" w:rsidRPr="00990A07">
              <w:rPr>
                <w:lang w:val="fr-FR"/>
              </w:rPr>
              <w:t>aucune maladie</w:t>
            </w:r>
            <w:r w:rsidR="00245309" w:rsidRPr="00990A07">
              <w:rPr>
                <w:lang w:val="fr-FR"/>
              </w:rPr>
              <w:t xml:space="preserve"> </w:t>
            </w:r>
            <w:r w:rsidR="00C74FE0" w:rsidRPr="00990A07">
              <w:rPr>
                <w:lang w:val="fr-FR"/>
              </w:rPr>
              <w:t xml:space="preserve">ou </w:t>
            </w:r>
            <w:r w:rsidR="00245309" w:rsidRPr="00990A07">
              <w:rPr>
                <w:lang w:val="fr-FR"/>
              </w:rPr>
              <w:t>de parasites</w:t>
            </w:r>
            <w:r w:rsidR="002C0525" w:rsidRPr="00990A07">
              <w:rPr>
                <w:lang w:val="fr-FR"/>
              </w:rPr>
              <w:t xml:space="preserve">) </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D1242C" w:rsidP="00D1242C">
            <w:pPr>
              <w:spacing w:after="40"/>
              <w:rPr>
                <w:b/>
                <w:lang w:val="fr-FR"/>
              </w:rPr>
            </w:pPr>
            <w:r>
              <w:rPr>
                <w:b/>
                <w:bCs/>
                <w:lang w:val="fr-FR"/>
              </w:rPr>
              <w:t>Le c</w:t>
            </w:r>
            <w:r w:rsidR="00245309" w:rsidRPr="00990A07">
              <w:rPr>
                <w:b/>
                <w:bCs/>
                <w:lang w:val="fr-FR"/>
              </w:rPr>
              <w:t>ertificat de fumigation</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D1242C" w:rsidP="00D1242C">
            <w:pPr>
              <w:spacing w:after="40"/>
              <w:rPr>
                <w:b/>
                <w:lang w:val="fr-FR"/>
              </w:rPr>
            </w:pPr>
            <w:r>
              <w:rPr>
                <w:b/>
                <w:lang w:val="fr-FR"/>
              </w:rPr>
              <w:t>Le c</w:t>
            </w:r>
            <w:r w:rsidR="00245309" w:rsidRPr="00990A07">
              <w:rPr>
                <w:b/>
                <w:lang w:val="fr-FR"/>
              </w:rPr>
              <w:t>ertificat d'exportation / certification de l’USDA</w:t>
            </w:r>
          </w:p>
        </w:tc>
      </w:tr>
      <w:tr w:rsidR="00417E9F" w:rsidRPr="00990A07" w:rsidTr="002C0525">
        <w:tc>
          <w:tcPr>
            <w:tcW w:w="648" w:type="dxa"/>
          </w:tcPr>
          <w:p w:rsidR="00417E9F" w:rsidRPr="00990A07" w:rsidRDefault="00417E9F" w:rsidP="002C0525">
            <w:pPr>
              <w:spacing w:after="0"/>
              <w:rPr>
                <w:sz w:val="28"/>
                <w:szCs w:val="28"/>
                <w:lang w:val="fr-FR"/>
              </w:rPr>
            </w:pPr>
            <w:r w:rsidRPr="00990A07">
              <w:rPr>
                <w:sz w:val="28"/>
                <w:szCs w:val="28"/>
                <w:lang w:val="fr-FR"/>
              </w:rPr>
              <w:sym w:font="Webdings" w:char="F063"/>
            </w:r>
          </w:p>
        </w:tc>
        <w:tc>
          <w:tcPr>
            <w:tcW w:w="8595" w:type="dxa"/>
          </w:tcPr>
          <w:p w:rsidR="00417E9F" w:rsidRPr="00990A07" w:rsidRDefault="00245309" w:rsidP="00CB5AC7">
            <w:pPr>
              <w:spacing w:after="0"/>
              <w:rPr>
                <w:b/>
                <w:lang w:val="fr-FR"/>
              </w:rPr>
            </w:pPr>
            <w:r w:rsidRPr="00990A07">
              <w:rPr>
                <w:b/>
                <w:lang w:val="fr-FR"/>
              </w:rPr>
              <w:t xml:space="preserve">Tous les documents spécifiques aux vivres </w:t>
            </w:r>
            <w:r w:rsidR="00417E9F" w:rsidRPr="00990A07">
              <w:rPr>
                <w:lang w:val="fr-FR"/>
              </w:rPr>
              <w:t>(</w:t>
            </w:r>
            <w:r w:rsidRPr="00990A07">
              <w:rPr>
                <w:lang w:val="fr-FR"/>
              </w:rPr>
              <w:t>tels que la certification de l’année de récolte ou le certificat d'analyse de l'huile végétale</w:t>
            </w:r>
            <w:r w:rsidR="00417E9F" w:rsidRPr="00990A07">
              <w:rPr>
                <w:lang w:val="fr-FR"/>
              </w:rPr>
              <w:t>)</w:t>
            </w:r>
          </w:p>
        </w:tc>
      </w:tr>
      <w:tr w:rsidR="00AD2649" w:rsidRPr="00990A07" w:rsidTr="00055105">
        <w:tc>
          <w:tcPr>
            <w:tcW w:w="9243" w:type="dxa"/>
            <w:gridSpan w:val="2"/>
          </w:tcPr>
          <w:p w:rsidR="00AD2649" w:rsidRPr="00990A07" w:rsidRDefault="00245309" w:rsidP="00245309">
            <w:pPr>
              <w:spacing w:before="240" w:after="60"/>
              <w:rPr>
                <w:b/>
                <w:color w:val="237990"/>
                <w:sz w:val="24"/>
                <w:szCs w:val="24"/>
                <w:lang w:val="fr-FR"/>
              </w:rPr>
            </w:pPr>
            <w:r w:rsidRPr="00990A07">
              <w:rPr>
                <w:b/>
                <w:color w:val="237990"/>
                <w:sz w:val="24"/>
                <w:szCs w:val="24"/>
                <w:lang w:val="fr-FR"/>
              </w:rPr>
              <w:t>Documents obtenus dans le pays où les vivres sont déchargés</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D1242C" w:rsidP="00D1242C">
            <w:pPr>
              <w:spacing w:after="40"/>
              <w:rPr>
                <w:lang w:val="fr-FR"/>
              </w:rPr>
            </w:pPr>
            <w:r>
              <w:rPr>
                <w:b/>
                <w:bCs/>
                <w:lang w:val="fr-FR"/>
              </w:rPr>
              <w:t>Le m</w:t>
            </w:r>
            <w:r w:rsidR="002C0525" w:rsidRPr="00990A07">
              <w:rPr>
                <w:b/>
                <w:bCs/>
                <w:lang w:val="fr-FR"/>
              </w:rPr>
              <w:t>anifest</w:t>
            </w:r>
            <w:r w:rsidR="00245309" w:rsidRPr="00990A07">
              <w:rPr>
                <w:b/>
                <w:bCs/>
                <w:lang w:val="fr-FR"/>
              </w:rPr>
              <w:t>e du navire</w:t>
            </w:r>
            <w:r w:rsidR="002C0525" w:rsidRPr="00990A07">
              <w:rPr>
                <w:b/>
                <w:bCs/>
                <w:lang w:val="fr-FR"/>
              </w:rPr>
              <w:t xml:space="preserve"> </w:t>
            </w:r>
            <w:r w:rsidR="002C0525" w:rsidRPr="00990A07">
              <w:rPr>
                <w:bCs/>
                <w:lang w:val="fr-FR"/>
              </w:rPr>
              <w:t>(</w:t>
            </w:r>
            <w:r w:rsidR="00245309" w:rsidRPr="00990A07">
              <w:rPr>
                <w:lang w:val="fr-FR"/>
              </w:rPr>
              <w:t>liste des expéditions constituant la cargaison du navire</w:t>
            </w:r>
            <w:r w:rsidR="002C0525" w:rsidRPr="00990A07">
              <w:rPr>
                <w:lang w:val="fr-FR"/>
              </w:rPr>
              <w:t>)</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D1242C" w:rsidP="00D1242C">
            <w:pPr>
              <w:spacing w:after="40"/>
              <w:rPr>
                <w:b/>
                <w:lang w:val="fr-FR"/>
              </w:rPr>
            </w:pPr>
            <w:r>
              <w:rPr>
                <w:b/>
                <w:lang w:val="fr-FR"/>
              </w:rPr>
              <w:t>Le r</w:t>
            </w:r>
            <w:r w:rsidR="00245309" w:rsidRPr="00990A07">
              <w:rPr>
                <w:b/>
                <w:lang w:val="fr-FR"/>
              </w:rPr>
              <w:t>apport d'inspection sanitaire / certificat sanitaire</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lastRenderedPageBreak/>
              <w:sym w:font="Webdings" w:char="F063"/>
            </w:r>
          </w:p>
        </w:tc>
        <w:tc>
          <w:tcPr>
            <w:tcW w:w="8595" w:type="dxa"/>
          </w:tcPr>
          <w:p w:rsidR="002C0525" w:rsidRPr="00990A07" w:rsidRDefault="00D1242C" w:rsidP="00D1242C">
            <w:pPr>
              <w:spacing w:after="40"/>
              <w:rPr>
                <w:b/>
                <w:lang w:val="fr-FR"/>
              </w:rPr>
            </w:pPr>
            <w:r>
              <w:rPr>
                <w:b/>
                <w:lang w:val="fr-FR"/>
              </w:rPr>
              <w:t>Le r</w:t>
            </w:r>
            <w:r w:rsidR="00245309" w:rsidRPr="00990A07">
              <w:rPr>
                <w:b/>
                <w:lang w:val="fr-FR"/>
              </w:rPr>
              <w:t>apport d'inspection de</w:t>
            </w:r>
            <w:r w:rsidR="00E17228" w:rsidRPr="00990A07">
              <w:rPr>
                <w:b/>
                <w:lang w:val="fr-FR"/>
              </w:rPr>
              <w:t xml:space="preserve"> l'agriculture / certification </w:t>
            </w:r>
            <w:r w:rsidR="00245309" w:rsidRPr="00990A07">
              <w:rPr>
                <w:b/>
                <w:lang w:val="fr-FR"/>
              </w:rPr>
              <w:t>GM</w:t>
            </w:r>
            <w:r w:rsidR="00E17228" w:rsidRPr="00990A07">
              <w:rPr>
                <w:b/>
                <w:lang w:val="fr-FR"/>
              </w:rPr>
              <w:t>O</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D1242C" w:rsidP="0062548C">
            <w:pPr>
              <w:spacing w:after="0"/>
              <w:rPr>
                <w:lang w:val="fr-FR"/>
              </w:rPr>
            </w:pPr>
            <w:r>
              <w:rPr>
                <w:b/>
                <w:lang w:val="fr-FR"/>
              </w:rPr>
              <w:t>Le r</w:t>
            </w:r>
            <w:r w:rsidR="00990A07" w:rsidRPr="00990A07">
              <w:rPr>
                <w:b/>
                <w:lang w:val="fr-FR"/>
              </w:rPr>
              <w:t>apport de débarquement du port</w:t>
            </w:r>
            <w:r w:rsidR="002C0525" w:rsidRPr="00990A07">
              <w:rPr>
                <w:lang w:val="fr-FR"/>
              </w:rPr>
              <w:t xml:space="preserve"> (</w:t>
            </w:r>
            <w:r w:rsidR="00E17228" w:rsidRPr="00990A07">
              <w:rPr>
                <w:lang w:val="fr-FR"/>
              </w:rPr>
              <w:t>document préparé par le port, indiquant, à son avis, l'état et la quantité de vivres déchargés du navire</w:t>
            </w:r>
            <w:r w:rsidR="002C0525" w:rsidRPr="00990A07">
              <w:rPr>
                <w:lang w:val="fr-FR"/>
              </w:rPr>
              <w:t>)</w:t>
            </w:r>
          </w:p>
          <w:p w:rsidR="005D4C6A" w:rsidRPr="00990A07" w:rsidRDefault="005D4C6A" w:rsidP="0062548C">
            <w:pPr>
              <w:spacing w:after="0"/>
              <w:rPr>
                <w:lang w:val="fr-FR"/>
              </w:rPr>
            </w:pP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62548C" w:rsidRPr="00990A07" w:rsidRDefault="00D1242C" w:rsidP="005D4C6A">
            <w:pPr>
              <w:spacing w:after="40"/>
              <w:rPr>
                <w:lang w:val="fr-FR"/>
              </w:rPr>
            </w:pPr>
            <w:r>
              <w:rPr>
                <w:b/>
                <w:lang w:val="fr-FR"/>
              </w:rPr>
              <w:t>Le r</w:t>
            </w:r>
            <w:r w:rsidR="00990A07" w:rsidRPr="00990A07">
              <w:rPr>
                <w:b/>
                <w:lang w:val="fr-FR"/>
              </w:rPr>
              <w:t>apport de déchargement du navire/de la compagnie de fret</w:t>
            </w:r>
            <w:r w:rsidR="002C0525" w:rsidRPr="00990A07">
              <w:rPr>
                <w:lang w:val="fr-FR"/>
              </w:rPr>
              <w:t xml:space="preserve"> (</w:t>
            </w:r>
            <w:r w:rsidR="005D5CBD" w:rsidRPr="00990A07">
              <w:rPr>
                <w:lang w:val="fr-FR"/>
              </w:rPr>
              <w:t>document préparé par le navire ou ses agents, indiquant l'état et la quantité</w:t>
            </w:r>
            <w:bookmarkStart w:id="0" w:name="_GoBack"/>
            <w:bookmarkEnd w:id="0"/>
            <w:r w:rsidR="005D5CBD" w:rsidRPr="00990A07">
              <w:rPr>
                <w:lang w:val="fr-FR"/>
              </w:rPr>
              <w:t xml:space="preserve"> de cargaison déchargée du navire</w:t>
            </w:r>
            <w:r w:rsidR="00C97F45" w:rsidRPr="00990A07">
              <w:rPr>
                <w:lang w:val="fr-FR"/>
              </w:rPr>
              <w:t>)</w:t>
            </w:r>
          </w:p>
          <w:p w:rsidR="002C0525" w:rsidRPr="00990A07" w:rsidRDefault="005D5CBD" w:rsidP="005D5CBD">
            <w:pPr>
              <w:spacing w:before="60" w:after="0"/>
              <w:rPr>
                <w:lang w:val="fr-FR"/>
              </w:rPr>
            </w:pPr>
            <w:r w:rsidRPr="00990A07">
              <w:rPr>
                <w:lang w:val="fr-FR"/>
              </w:rPr>
              <w:t>Les inspecteurs indépendants en obtiennent une copie, la comparent à leur propre rapport d'enquête et résolvent toute divergence</w:t>
            </w:r>
            <w:r w:rsidR="002C0525" w:rsidRPr="00990A07">
              <w:rPr>
                <w:lang w:val="fr-FR"/>
              </w:rPr>
              <w:t>.</w:t>
            </w:r>
          </w:p>
        </w:tc>
      </w:tr>
      <w:tr w:rsidR="002C0525" w:rsidRPr="00990A07" w:rsidTr="002C0525">
        <w:tc>
          <w:tcPr>
            <w:tcW w:w="648" w:type="dxa"/>
          </w:tcPr>
          <w:p w:rsidR="002C0525" w:rsidRPr="00990A07" w:rsidRDefault="002C0525" w:rsidP="002C0525">
            <w:pPr>
              <w:spacing w:after="0"/>
              <w:rPr>
                <w:sz w:val="28"/>
                <w:szCs w:val="28"/>
                <w:lang w:val="fr-FR"/>
              </w:rPr>
            </w:pPr>
            <w:r w:rsidRPr="00990A07">
              <w:rPr>
                <w:sz w:val="28"/>
                <w:szCs w:val="28"/>
                <w:lang w:val="fr-FR"/>
              </w:rPr>
              <w:sym w:font="Webdings" w:char="F063"/>
            </w:r>
          </w:p>
        </w:tc>
        <w:tc>
          <w:tcPr>
            <w:tcW w:w="8595" w:type="dxa"/>
          </w:tcPr>
          <w:p w:rsidR="002C0525" w:rsidRPr="00990A07" w:rsidRDefault="00D1242C" w:rsidP="00D1242C">
            <w:pPr>
              <w:spacing w:after="40"/>
              <w:rPr>
                <w:lang w:val="fr-FR"/>
              </w:rPr>
            </w:pPr>
            <w:r>
              <w:rPr>
                <w:b/>
                <w:lang w:val="fr-FR"/>
              </w:rPr>
              <w:t>Le r</w:t>
            </w:r>
            <w:r w:rsidR="00F320E9">
              <w:rPr>
                <w:b/>
                <w:lang w:val="fr-FR"/>
              </w:rPr>
              <w:t>apport de levage</w:t>
            </w:r>
            <w:r w:rsidR="002C0525" w:rsidRPr="00990A07">
              <w:rPr>
                <w:lang w:val="fr-FR"/>
              </w:rPr>
              <w:t xml:space="preserve"> (</w:t>
            </w:r>
            <w:r w:rsidR="00F320E9">
              <w:rPr>
                <w:lang w:val="fr-FR"/>
              </w:rPr>
              <w:t>décompte d</w:t>
            </w:r>
            <w:r w:rsidR="005D5CBD" w:rsidRPr="00990A07">
              <w:rPr>
                <w:lang w:val="fr-FR"/>
              </w:rPr>
              <w:t>es conteneurs, délivré par le transporteur maritime</w:t>
            </w:r>
            <w:r w:rsidR="002C0525" w:rsidRPr="00990A07">
              <w:rPr>
                <w:lang w:val="fr-FR"/>
              </w:rPr>
              <w:t>)</w:t>
            </w:r>
          </w:p>
        </w:tc>
      </w:tr>
      <w:tr w:rsidR="00AD2649" w:rsidRPr="00990A07" w:rsidTr="002C0525">
        <w:tc>
          <w:tcPr>
            <w:tcW w:w="648" w:type="dxa"/>
          </w:tcPr>
          <w:p w:rsidR="00AD2649" w:rsidRPr="00990A07" w:rsidRDefault="00AD2649" w:rsidP="0085080C">
            <w:pPr>
              <w:spacing w:after="0"/>
              <w:rPr>
                <w:sz w:val="28"/>
                <w:szCs w:val="28"/>
                <w:lang w:val="fr-FR"/>
              </w:rPr>
            </w:pPr>
            <w:r w:rsidRPr="00990A07">
              <w:rPr>
                <w:sz w:val="28"/>
                <w:szCs w:val="28"/>
                <w:lang w:val="fr-FR"/>
              </w:rPr>
              <w:sym w:font="Webdings" w:char="F063"/>
            </w:r>
          </w:p>
        </w:tc>
        <w:tc>
          <w:tcPr>
            <w:tcW w:w="8595" w:type="dxa"/>
          </w:tcPr>
          <w:p w:rsidR="00AD2649" w:rsidRPr="00990A07" w:rsidRDefault="005D5CBD" w:rsidP="005D5CBD">
            <w:pPr>
              <w:spacing w:after="40"/>
              <w:rPr>
                <w:b/>
                <w:lang w:val="fr-FR"/>
              </w:rPr>
            </w:pPr>
            <w:r w:rsidRPr="00990A07">
              <w:rPr>
                <w:b/>
                <w:lang w:val="fr-FR"/>
              </w:rPr>
              <w:t xml:space="preserve">Toutes les autorisations douanières signées </w:t>
            </w:r>
            <w:r w:rsidR="006119E3" w:rsidRPr="00990A07">
              <w:rPr>
                <w:b/>
                <w:lang w:val="fr-FR"/>
              </w:rPr>
              <w:t>/</w:t>
            </w:r>
            <w:r w:rsidRPr="00990A07">
              <w:rPr>
                <w:b/>
                <w:lang w:val="fr-FR"/>
              </w:rPr>
              <w:t xml:space="preserve"> formulaire de dédouanement</w:t>
            </w:r>
          </w:p>
        </w:tc>
      </w:tr>
      <w:tr w:rsidR="00AD2649" w:rsidRPr="00990A07" w:rsidTr="002C0525">
        <w:tc>
          <w:tcPr>
            <w:tcW w:w="648" w:type="dxa"/>
          </w:tcPr>
          <w:p w:rsidR="00AD2649" w:rsidRPr="00990A07" w:rsidRDefault="00AD2649" w:rsidP="002C0525">
            <w:pPr>
              <w:spacing w:after="0"/>
              <w:rPr>
                <w:sz w:val="28"/>
                <w:szCs w:val="28"/>
                <w:lang w:val="fr-FR"/>
              </w:rPr>
            </w:pPr>
            <w:r w:rsidRPr="00990A07">
              <w:rPr>
                <w:sz w:val="28"/>
                <w:szCs w:val="28"/>
                <w:lang w:val="fr-FR"/>
              </w:rPr>
              <w:sym w:font="Webdings" w:char="F063"/>
            </w:r>
          </w:p>
        </w:tc>
        <w:tc>
          <w:tcPr>
            <w:tcW w:w="8595" w:type="dxa"/>
          </w:tcPr>
          <w:p w:rsidR="00AD2649" w:rsidRPr="00990A07" w:rsidRDefault="00D1242C" w:rsidP="00D1242C">
            <w:pPr>
              <w:spacing w:after="40"/>
              <w:rPr>
                <w:b/>
                <w:lang w:val="fr-FR"/>
              </w:rPr>
            </w:pPr>
            <w:r>
              <w:rPr>
                <w:b/>
                <w:lang w:val="fr-FR"/>
              </w:rPr>
              <w:t>Les d</w:t>
            </w:r>
            <w:r w:rsidR="00D112D0" w:rsidRPr="00990A07">
              <w:rPr>
                <w:b/>
                <w:lang w:val="fr-FR"/>
              </w:rPr>
              <w:t>ocuments sur les frais de port</w:t>
            </w:r>
          </w:p>
        </w:tc>
      </w:tr>
      <w:tr w:rsidR="00AD2649" w:rsidRPr="00990A07" w:rsidTr="002C0525">
        <w:tc>
          <w:tcPr>
            <w:tcW w:w="648" w:type="dxa"/>
          </w:tcPr>
          <w:p w:rsidR="00AD2649" w:rsidRPr="00990A07" w:rsidRDefault="00AD2649" w:rsidP="002C0525">
            <w:pPr>
              <w:spacing w:after="0"/>
              <w:rPr>
                <w:sz w:val="28"/>
                <w:szCs w:val="28"/>
                <w:lang w:val="fr-FR"/>
              </w:rPr>
            </w:pPr>
            <w:r w:rsidRPr="00990A07">
              <w:rPr>
                <w:sz w:val="28"/>
                <w:szCs w:val="28"/>
                <w:lang w:val="fr-FR"/>
              </w:rPr>
              <w:sym w:font="Webdings" w:char="F063"/>
            </w:r>
          </w:p>
        </w:tc>
        <w:tc>
          <w:tcPr>
            <w:tcW w:w="8595" w:type="dxa"/>
          </w:tcPr>
          <w:p w:rsidR="00AD2649" w:rsidRPr="00990A07" w:rsidRDefault="00D1242C" w:rsidP="00D1242C">
            <w:pPr>
              <w:spacing w:after="0"/>
              <w:rPr>
                <w:lang w:val="fr-FR"/>
              </w:rPr>
            </w:pPr>
            <w:r>
              <w:rPr>
                <w:b/>
                <w:lang w:val="fr-FR"/>
              </w:rPr>
              <w:t>Les r</w:t>
            </w:r>
            <w:r w:rsidR="00990A07" w:rsidRPr="00990A07">
              <w:rPr>
                <w:b/>
                <w:lang w:val="fr-FR"/>
              </w:rPr>
              <w:t>apports d’inspection indépendante du d</w:t>
            </w:r>
            <w:r w:rsidR="00D112D0" w:rsidRPr="00990A07">
              <w:rPr>
                <w:b/>
                <w:lang w:val="fr-FR"/>
              </w:rPr>
              <w:t>écharge</w:t>
            </w:r>
            <w:r w:rsidR="00990A07" w:rsidRPr="00990A07">
              <w:rPr>
                <w:b/>
                <w:lang w:val="fr-FR"/>
              </w:rPr>
              <w:t>ment</w:t>
            </w:r>
            <w:r w:rsidR="00D112D0" w:rsidRPr="00990A07">
              <w:rPr>
                <w:b/>
                <w:lang w:val="fr-FR"/>
              </w:rPr>
              <w:t xml:space="preserve"> et / ou livraison </w:t>
            </w:r>
            <w:r w:rsidR="00AD2649" w:rsidRPr="00990A07">
              <w:rPr>
                <w:lang w:val="fr-FR"/>
              </w:rPr>
              <w:t>(</w:t>
            </w:r>
            <w:r w:rsidR="00D112D0" w:rsidRPr="00990A07">
              <w:rPr>
                <w:lang w:val="fr-FR"/>
              </w:rPr>
              <w:t xml:space="preserve">y compris les recettes douanières, les rapports des autorités portuaires, les certificats </w:t>
            </w:r>
            <w:r w:rsidR="00990A07" w:rsidRPr="00990A07">
              <w:rPr>
                <w:lang w:val="fr-FR"/>
              </w:rPr>
              <w:t>de charges manquantes</w:t>
            </w:r>
            <w:r w:rsidR="00D112D0" w:rsidRPr="00990A07">
              <w:rPr>
                <w:lang w:val="fr-FR"/>
              </w:rPr>
              <w:t xml:space="preserve"> ou excédentaires, les engagements de fret des cargaisons, les </w:t>
            </w:r>
            <w:r w:rsidR="00990A07" w:rsidRPr="00990A07">
              <w:rPr>
                <w:lang w:val="fr-FR"/>
              </w:rPr>
              <w:t>feuilles de pointage</w:t>
            </w:r>
            <w:r w:rsidR="00D112D0" w:rsidRPr="00990A07">
              <w:rPr>
                <w:lang w:val="fr-FR"/>
              </w:rPr>
              <w:t xml:space="preserve"> de manutentionnaire et les factures</w:t>
            </w:r>
            <w:r w:rsidR="00417E9F" w:rsidRPr="00990A07">
              <w:rPr>
                <w:lang w:val="fr-FR"/>
              </w:rPr>
              <w:t>)</w:t>
            </w:r>
          </w:p>
        </w:tc>
      </w:tr>
      <w:tr w:rsidR="00AD2649" w:rsidRPr="00990A07" w:rsidTr="002C0525">
        <w:tc>
          <w:tcPr>
            <w:tcW w:w="648" w:type="dxa"/>
          </w:tcPr>
          <w:p w:rsidR="00AD2649" w:rsidRPr="00990A07" w:rsidRDefault="00AD2649" w:rsidP="002C0525">
            <w:pPr>
              <w:spacing w:after="0"/>
              <w:rPr>
                <w:sz w:val="28"/>
                <w:szCs w:val="28"/>
                <w:lang w:val="fr-FR"/>
              </w:rPr>
            </w:pPr>
            <w:r w:rsidRPr="00990A07">
              <w:rPr>
                <w:sz w:val="28"/>
                <w:szCs w:val="28"/>
                <w:lang w:val="fr-FR"/>
              </w:rPr>
              <w:sym w:font="Webdings" w:char="F063"/>
            </w:r>
          </w:p>
        </w:tc>
        <w:tc>
          <w:tcPr>
            <w:tcW w:w="8595" w:type="dxa"/>
          </w:tcPr>
          <w:p w:rsidR="00AD2649" w:rsidRPr="00990A07" w:rsidRDefault="00D1242C" w:rsidP="00D1242C">
            <w:pPr>
              <w:spacing w:after="40"/>
              <w:rPr>
                <w:lang w:val="fr-FR"/>
              </w:rPr>
            </w:pPr>
            <w:r>
              <w:rPr>
                <w:b/>
                <w:lang w:val="fr-FR"/>
              </w:rPr>
              <w:t>La l</w:t>
            </w:r>
            <w:r w:rsidR="00D112D0" w:rsidRPr="00990A07">
              <w:rPr>
                <w:b/>
                <w:lang w:val="fr-FR"/>
              </w:rPr>
              <w:t xml:space="preserve">ettre de transport </w:t>
            </w:r>
            <w:r w:rsidR="00990A07" w:rsidRPr="00990A07">
              <w:rPr>
                <w:b/>
                <w:lang w:val="fr-FR"/>
              </w:rPr>
              <w:t xml:space="preserve">du port </w:t>
            </w:r>
            <w:r w:rsidR="00D112D0" w:rsidRPr="00990A07">
              <w:rPr>
                <w:b/>
                <w:lang w:val="fr-FR"/>
              </w:rPr>
              <w:t>et rapport de perte</w:t>
            </w:r>
            <w:r w:rsidR="00AD2649" w:rsidRPr="00990A07">
              <w:rPr>
                <w:lang w:val="fr-FR"/>
              </w:rPr>
              <w:t xml:space="preserve"> (</w:t>
            </w:r>
            <w:r w:rsidR="00D112D0" w:rsidRPr="00990A07">
              <w:rPr>
                <w:lang w:val="fr-FR"/>
              </w:rPr>
              <w:t>pour tenir compte de tous les produits décrits sur le</w:t>
            </w:r>
            <w:r w:rsidR="0006259C" w:rsidRPr="00990A07">
              <w:rPr>
                <w:lang w:val="fr-FR"/>
              </w:rPr>
              <w:t xml:space="preserve"> connaissement</w:t>
            </w:r>
            <w:r w:rsidR="00AD2649" w:rsidRPr="00990A07">
              <w:rPr>
                <w:lang w:val="fr-FR"/>
              </w:rPr>
              <w:t>)</w:t>
            </w:r>
          </w:p>
        </w:tc>
      </w:tr>
      <w:tr w:rsidR="00AD2649" w:rsidRPr="00990A07" w:rsidTr="002C0525">
        <w:tc>
          <w:tcPr>
            <w:tcW w:w="648" w:type="dxa"/>
          </w:tcPr>
          <w:p w:rsidR="00AD2649" w:rsidRPr="00990A07" w:rsidRDefault="00AD2649" w:rsidP="002C0525">
            <w:pPr>
              <w:spacing w:after="0"/>
              <w:rPr>
                <w:sz w:val="28"/>
                <w:szCs w:val="28"/>
                <w:lang w:val="fr-FR"/>
              </w:rPr>
            </w:pPr>
            <w:r w:rsidRPr="00990A07">
              <w:rPr>
                <w:sz w:val="28"/>
                <w:szCs w:val="28"/>
                <w:lang w:val="fr-FR"/>
              </w:rPr>
              <w:sym w:font="Webdings" w:char="F063"/>
            </w:r>
          </w:p>
        </w:tc>
        <w:tc>
          <w:tcPr>
            <w:tcW w:w="8595" w:type="dxa"/>
          </w:tcPr>
          <w:p w:rsidR="00AD2649" w:rsidRPr="00990A07" w:rsidRDefault="00D1242C" w:rsidP="00D1242C">
            <w:pPr>
              <w:spacing w:after="40"/>
              <w:rPr>
                <w:b/>
                <w:lang w:val="fr-FR"/>
              </w:rPr>
            </w:pPr>
            <w:r>
              <w:rPr>
                <w:b/>
                <w:lang w:val="fr-FR"/>
              </w:rPr>
              <w:t>Les c</w:t>
            </w:r>
            <w:r w:rsidR="0006259C" w:rsidRPr="00990A07">
              <w:rPr>
                <w:b/>
                <w:lang w:val="fr-FR"/>
              </w:rPr>
              <w:t>opies des réclamations de perte</w:t>
            </w:r>
          </w:p>
        </w:tc>
      </w:tr>
    </w:tbl>
    <w:p w:rsidR="00B45135" w:rsidRPr="00990A07" w:rsidRDefault="00B45135" w:rsidP="002C0525">
      <w:pPr>
        <w:rPr>
          <w:lang w:val="fr-FR"/>
        </w:rPr>
      </w:pPr>
    </w:p>
    <w:sectPr w:rsidR="00B45135" w:rsidRPr="00990A07" w:rsidSect="000F39F4">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F9" w:rsidRDefault="002A04F9" w:rsidP="000F39F4">
      <w:pPr>
        <w:spacing w:before="0" w:after="0"/>
      </w:pPr>
      <w:r>
        <w:separator/>
      </w:r>
    </w:p>
  </w:endnote>
  <w:endnote w:type="continuationSeparator" w:id="0">
    <w:p w:rsidR="002A04F9" w:rsidRDefault="002A04F9" w:rsidP="000F39F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7284500"/>
      <w:docPartObj>
        <w:docPartGallery w:val="Page Numbers (Bottom of Page)"/>
        <w:docPartUnique/>
      </w:docPartObj>
    </w:sdtPr>
    <w:sdtContent>
      <w:sdt>
        <w:sdtPr>
          <w:rPr>
            <w:sz w:val="20"/>
            <w:szCs w:val="20"/>
          </w:rPr>
          <w:id w:val="565050477"/>
          <w:docPartObj>
            <w:docPartGallery w:val="Page Numbers (Top of Page)"/>
            <w:docPartUnique/>
          </w:docPartObj>
        </w:sdtPr>
        <w:sdtContent>
          <w:p w:rsidR="008F025E" w:rsidRPr="00BB444E" w:rsidRDefault="008F025E">
            <w:pPr>
              <w:pStyle w:val="Footer"/>
              <w:jc w:val="center"/>
              <w:rPr>
                <w:sz w:val="20"/>
                <w:szCs w:val="20"/>
              </w:rPr>
            </w:pPr>
            <w:r w:rsidRPr="00BB444E">
              <w:rPr>
                <w:sz w:val="20"/>
                <w:szCs w:val="20"/>
              </w:rPr>
              <w:t xml:space="preserve">Page </w:t>
            </w:r>
            <w:r w:rsidR="005422D0" w:rsidRPr="00BB444E">
              <w:rPr>
                <w:sz w:val="20"/>
                <w:szCs w:val="20"/>
              </w:rPr>
              <w:fldChar w:fldCharType="begin"/>
            </w:r>
            <w:r w:rsidRPr="00BB444E">
              <w:rPr>
                <w:sz w:val="20"/>
                <w:szCs w:val="20"/>
              </w:rPr>
              <w:instrText xml:space="preserve"> PAGE </w:instrText>
            </w:r>
            <w:r w:rsidR="005422D0" w:rsidRPr="00BB444E">
              <w:rPr>
                <w:sz w:val="20"/>
                <w:szCs w:val="20"/>
              </w:rPr>
              <w:fldChar w:fldCharType="separate"/>
            </w:r>
            <w:r w:rsidR="00BB444E">
              <w:rPr>
                <w:noProof/>
                <w:sz w:val="20"/>
                <w:szCs w:val="20"/>
              </w:rPr>
              <w:t>2</w:t>
            </w:r>
            <w:r w:rsidR="005422D0" w:rsidRPr="00BB444E">
              <w:rPr>
                <w:sz w:val="20"/>
                <w:szCs w:val="20"/>
              </w:rPr>
              <w:fldChar w:fldCharType="end"/>
            </w:r>
            <w:r w:rsidRPr="00BB444E">
              <w:rPr>
                <w:sz w:val="20"/>
                <w:szCs w:val="20"/>
              </w:rPr>
              <w:t xml:space="preserve"> </w:t>
            </w:r>
            <w:r w:rsidR="005A47B6" w:rsidRPr="00BB444E">
              <w:rPr>
                <w:sz w:val="20"/>
                <w:szCs w:val="20"/>
              </w:rPr>
              <w:t>/</w:t>
            </w:r>
            <w:r w:rsidRPr="00BB444E">
              <w:rPr>
                <w:sz w:val="20"/>
                <w:szCs w:val="20"/>
              </w:rPr>
              <w:t xml:space="preserve"> </w:t>
            </w:r>
            <w:r w:rsidR="005422D0" w:rsidRPr="00BB444E">
              <w:rPr>
                <w:sz w:val="20"/>
                <w:szCs w:val="20"/>
              </w:rPr>
              <w:fldChar w:fldCharType="begin"/>
            </w:r>
            <w:r w:rsidRPr="00BB444E">
              <w:rPr>
                <w:sz w:val="20"/>
                <w:szCs w:val="20"/>
              </w:rPr>
              <w:instrText xml:space="preserve"> NUMPAGES  </w:instrText>
            </w:r>
            <w:r w:rsidR="005422D0" w:rsidRPr="00BB444E">
              <w:rPr>
                <w:sz w:val="20"/>
                <w:szCs w:val="20"/>
              </w:rPr>
              <w:fldChar w:fldCharType="separate"/>
            </w:r>
            <w:r w:rsidR="00BB444E">
              <w:rPr>
                <w:noProof/>
                <w:sz w:val="20"/>
                <w:szCs w:val="20"/>
              </w:rPr>
              <w:t>2</w:t>
            </w:r>
            <w:r w:rsidR="005422D0" w:rsidRPr="00BB444E">
              <w:rPr>
                <w:sz w:val="20"/>
                <w:szCs w:val="20"/>
              </w:rPr>
              <w:fldChar w:fldCharType="end"/>
            </w:r>
          </w:p>
        </w:sdtContent>
      </w:sdt>
    </w:sdtContent>
  </w:sdt>
  <w:p w:rsidR="008F025E" w:rsidRDefault="008F0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F9" w:rsidRDefault="002A04F9" w:rsidP="000F39F4">
      <w:pPr>
        <w:spacing w:before="0" w:after="0"/>
      </w:pPr>
      <w:r>
        <w:separator/>
      </w:r>
    </w:p>
  </w:footnote>
  <w:footnote w:type="continuationSeparator" w:id="0">
    <w:p w:rsidR="002A04F9" w:rsidRDefault="002A04F9" w:rsidP="000F39F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4" w:rsidRPr="00DB0399" w:rsidRDefault="00DB0399" w:rsidP="000F39F4">
    <w:pPr>
      <w:pStyle w:val="Header"/>
      <w:jc w:val="center"/>
      <w:rPr>
        <w:sz w:val="24"/>
        <w:szCs w:val="24"/>
        <w:lang w:val="fr-FR"/>
      </w:rPr>
    </w:pPr>
    <w:r w:rsidRPr="00DB0399">
      <w:rPr>
        <w:b/>
        <w:color w:val="237990"/>
        <w:sz w:val="28"/>
        <w:szCs w:val="28"/>
        <w:lang w:val="fr-FR"/>
      </w:rPr>
      <w:t>LISTE DE CONTR</w:t>
    </w:r>
    <w:r w:rsidR="00E00FDC">
      <w:rPr>
        <w:rFonts w:cstheme="minorHAnsi"/>
        <w:b/>
        <w:color w:val="237990"/>
        <w:sz w:val="28"/>
        <w:szCs w:val="28"/>
        <w:lang w:val="fr-FR"/>
      </w:rPr>
      <w:t>Ô</w:t>
    </w:r>
    <w:r w:rsidRPr="00DB0399">
      <w:rPr>
        <w:b/>
        <w:color w:val="237990"/>
        <w:sz w:val="28"/>
        <w:szCs w:val="28"/>
        <w:lang w:val="fr-FR"/>
      </w:rPr>
      <w:t>LE pour les documents relatifs au fret maritime</w:t>
    </w:r>
  </w:p>
  <w:p w:rsidR="000F39F4" w:rsidRPr="00DB0399" w:rsidRDefault="000F39F4">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A5108"/>
    <w:multiLevelType w:val="hybridMultilevel"/>
    <w:tmpl w:val="E5E04EAA"/>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E4376"/>
    <w:multiLevelType w:val="hybridMultilevel"/>
    <w:tmpl w:val="A74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56762"/>
    <w:multiLevelType w:val="hybridMultilevel"/>
    <w:tmpl w:val="7748A734"/>
    <w:lvl w:ilvl="0" w:tplc="41CC95AE">
      <w:start w:val="1"/>
      <w:numFmt w:val="bullet"/>
      <w:lvlText w:val="•"/>
      <w:lvlJc w:val="left"/>
      <w:pPr>
        <w:tabs>
          <w:tab w:val="num" w:pos="720"/>
        </w:tabs>
        <w:ind w:left="720" w:hanging="360"/>
      </w:pPr>
      <w:rPr>
        <w:rFonts w:ascii="Times New Roman" w:hAnsi="Times New Roman" w:hint="default"/>
      </w:rPr>
    </w:lvl>
    <w:lvl w:ilvl="1" w:tplc="C93697FE" w:tentative="1">
      <w:start w:val="1"/>
      <w:numFmt w:val="bullet"/>
      <w:lvlText w:val="•"/>
      <w:lvlJc w:val="left"/>
      <w:pPr>
        <w:tabs>
          <w:tab w:val="num" w:pos="1440"/>
        </w:tabs>
        <w:ind w:left="1440" w:hanging="360"/>
      </w:pPr>
      <w:rPr>
        <w:rFonts w:ascii="Times New Roman" w:hAnsi="Times New Roman" w:hint="default"/>
      </w:rPr>
    </w:lvl>
    <w:lvl w:ilvl="2" w:tplc="958C9316" w:tentative="1">
      <w:start w:val="1"/>
      <w:numFmt w:val="bullet"/>
      <w:lvlText w:val="•"/>
      <w:lvlJc w:val="left"/>
      <w:pPr>
        <w:tabs>
          <w:tab w:val="num" w:pos="2160"/>
        </w:tabs>
        <w:ind w:left="2160" w:hanging="360"/>
      </w:pPr>
      <w:rPr>
        <w:rFonts w:ascii="Times New Roman" w:hAnsi="Times New Roman" w:hint="default"/>
      </w:rPr>
    </w:lvl>
    <w:lvl w:ilvl="3" w:tplc="5A0C0E98" w:tentative="1">
      <w:start w:val="1"/>
      <w:numFmt w:val="bullet"/>
      <w:lvlText w:val="•"/>
      <w:lvlJc w:val="left"/>
      <w:pPr>
        <w:tabs>
          <w:tab w:val="num" w:pos="2880"/>
        </w:tabs>
        <w:ind w:left="2880" w:hanging="360"/>
      </w:pPr>
      <w:rPr>
        <w:rFonts w:ascii="Times New Roman" w:hAnsi="Times New Roman" w:hint="default"/>
      </w:rPr>
    </w:lvl>
    <w:lvl w:ilvl="4" w:tplc="4E6299C4" w:tentative="1">
      <w:start w:val="1"/>
      <w:numFmt w:val="bullet"/>
      <w:lvlText w:val="•"/>
      <w:lvlJc w:val="left"/>
      <w:pPr>
        <w:tabs>
          <w:tab w:val="num" w:pos="3600"/>
        </w:tabs>
        <w:ind w:left="3600" w:hanging="360"/>
      </w:pPr>
      <w:rPr>
        <w:rFonts w:ascii="Times New Roman" w:hAnsi="Times New Roman" w:hint="default"/>
      </w:rPr>
    </w:lvl>
    <w:lvl w:ilvl="5" w:tplc="91A84DD4" w:tentative="1">
      <w:start w:val="1"/>
      <w:numFmt w:val="bullet"/>
      <w:lvlText w:val="•"/>
      <w:lvlJc w:val="left"/>
      <w:pPr>
        <w:tabs>
          <w:tab w:val="num" w:pos="4320"/>
        </w:tabs>
        <w:ind w:left="4320" w:hanging="360"/>
      </w:pPr>
      <w:rPr>
        <w:rFonts w:ascii="Times New Roman" w:hAnsi="Times New Roman" w:hint="default"/>
      </w:rPr>
    </w:lvl>
    <w:lvl w:ilvl="6" w:tplc="4CF24A26" w:tentative="1">
      <w:start w:val="1"/>
      <w:numFmt w:val="bullet"/>
      <w:lvlText w:val="•"/>
      <w:lvlJc w:val="left"/>
      <w:pPr>
        <w:tabs>
          <w:tab w:val="num" w:pos="5040"/>
        </w:tabs>
        <w:ind w:left="5040" w:hanging="360"/>
      </w:pPr>
      <w:rPr>
        <w:rFonts w:ascii="Times New Roman" w:hAnsi="Times New Roman" w:hint="default"/>
      </w:rPr>
    </w:lvl>
    <w:lvl w:ilvl="7" w:tplc="0350840E" w:tentative="1">
      <w:start w:val="1"/>
      <w:numFmt w:val="bullet"/>
      <w:lvlText w:val="•"/>
      <w:lvlJc w:val="left"/>
      <w:pPr>
        <w:tabs>
          <w:tab w:val="num" w:pos="5760"/>
        </w:tabs>
        <w:ind w:left="5760" w:hanging="360"/>
      </w:pPr>
      <w:rPr>
        <w:rFonts w:ascii="Times New Roman" w:hAnsi="Times New Roman" w:hint="default"/>
      </w:rPr>
    </w:lvl>
    <w:lvl w:ilvl="8" w:tplc="A89875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7943516A"/>
    <w:multiLevelType w:val="hybridMultilevel"/>
    <w:tmpl w:val="3AAA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4C7A"/>
    <w:rsid w:val="00026341"/>
    <w:rsid w:val="0003760F"/>
    <w:rsid w:val="0006259C"/>
    <w:rsid w:val="00085E4C"/>
    <w:rsid w:val="000B75D5"/>
    <w:rsid w:val="000D5A29"/>
    <w:rsid w:val="000F39F4"/>
    <w:rsid w:val="00112287"/>
    <w:rsid w:val="001177D1"/>
    <w:rsid w:val="00160343"/>
    <w:rsid w:val="00160545"/>
    <w:rsid w:val="00164470"/>
    <w:rsid w:val="00165D64"/>
    <w:rsid w:val="00207C97"/>
    <w:rsid w:val="002243F3"/>
    <w:rsid w:val="002305AD"/>
    <w:rsid w:val="00230F56"/>
    <w:rsid w:val="00245309"/>
    <w:rsid w:val="002A04F9"/>
    <w:rsid w:val="002A7F12"/>
    <w:rsid w:val="002B23F2"/>
    <w:rsid w:val="002C0525"/>
    <w:rsid w:val="002E0D1A"/>
    <w:rsid w:val="00341B54"/>
    <w:rsid w:val="00350D4C"/>
    <w:rsid w:val="003610D8"/>
    <w:rsid w:val="00371343"/>
    <w:rsid w:val="0039650B"/>
    <w:rsid w:val="003B47B3"/>
    <w:rsid w:val="00404A18"/>
    <w:rsid w:val="00407BBC"/>
    <w:rsid w:val="00414FF3"/>
    <w:rsid w:val="00417E9F"/>
    <w:rsid w:val="004203B9"/>
    <w:rsid w:val="0045283E"/>
    <w:rsid w:val="004B530A"/>
    <w:rsid w:val="004E103B"/>
    <w:rsid w:val="005174CD"/>
    <w:rsid w:val="005422D0"/>
    <w:rsid w:val="005A40E7"/>
    <w:rsid w:val="005A47B6"/>
    <w:rsid w:val="005B721B"/>
    <w:rsid w:val="005D4C6A"/>
    <w:rsid w:val="005D5CBD"/>
    <w:rsid w:val="006119E3"/>
    <w:rsid w:val="00623E25"/>
    <w:rsid w:val="0062548C"/>
    <w:rsid w:val="007011A1"/>
    <w:rsid w:val="0070768D"/>
    <w:rsid w:val="00765A95"/>
    <w:rsid w:val="00781BD8"/>
    <w:rsid w:val="00786453"/>
    <w:rsid w:val="00797A8A"/>
    <w:rsid w:val="007A1E23"/>
    <w:rsid w:val="007F3F0B"/>
    <w:rsid w:val="00834CA4"/>
    <w:rsid w:val="008423D9"/>
    <w:rsid w:val="00870BDD"/>
    <w:rsid w:val="008F025E"/>
    <w:rsid w:val="00990A07"/>
    <w:rsid w:val="009B6ECC"/>
    <w:rsid w:val="009C71E7"/>
    <w:rsid w:val="00A16626"/>
    <w:rsid w:val="00A55BED"/>
    <w:rsid w:val="00A61817"/>
    <w:rsid w:val="00A938F5"/>
    <w:rsid w:val="00AB21FA"/>
    <w:rsid w:val="00AD2649"/>
    <w:rsid w:val="00AE1915"/>
    <w:rsid w:val="00B12E3C"/>
    <w:rsid w:val="00B20CDD"/>
    <w:rsid w:val="00B34021"/>
    <w:rsid w:val="00B45135"/>
    <w:rsid w:val="00B74C7A"/>
    <w:rsid w:val="00BB444E"/>
    <w:rsid w:val="00C04060"/>
    <w:rsid w:val="00C40BC4"/>
    <w:rsid w:val="00C74FE0"/>
    <w:rsid w:val="00C97F45"/>
    <w:rsid w:val="00CA502F"/>
    <w:rsid w:val="00CB5AC7"/>
    <w:rsid w:val="00CC3B70"/>
    <w:rsid w:val="00CC693D"/>
    <w:rsid w:val="00D0678E"/>
    <w:rsid w:val="00D112D0"/>
    <w:rsid w:val="00D118CA"/>
    <w:rsid w:val="00D1242C"/>
    <w:rsid w:val="00D271C9"/>
    <w:rsid w:val="00D84886"/>
    <w:rsid w:val="00DB0399"/>
    <w:rsid w:val="00DB655F"/>
    <w:rsid w:val="00DC67CC"/>
    <w:rsid w:val="00DD4B86"/>
    <w:rsid w:val="00DF6FB8"/>
    <w:rsid w:val="00DF775E"/>
    <w:rsid w:val="00E00FDC"/>
    <w:rsid w:val="00E17228"/>
    <w:rsid w:val="00E23215"/>
    <w:rsid w:val="00E44169"/>
    <w:rsid w:val="00F320E9"/>
    <w:rsid w:val="00F916E7"/>
    <w:rsid w:val="00FA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table" w:styleId="TableGrid">
    <w:name w:val="Table Grid"/>
    <w:basedOn w:val="TableNormal"/>
    <w:uiPriority w:val="59"/>
    <w:rsid w:val="00B45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1C9"/>
    <w:pPr>
      <w:ind w:left="720"/>
      <w:contextualSpacing/>
    </w:pPr>
  </w:style>
  <w:style w:type="paragraph" w:styleId="Header">
    <w:name w:val="header"/>
    <w:basedOn w:val="Normal"/>
    <w:link w:val="HeaderChar"/>
    <w:uiPriority w:val="99"/>
    <w:unhideWhenUsed/>
    <w:rsid w:val="000F39F4"/>
    <w:pPr>
      <w:tabs>
        <w:tab w:val="center" w:pos="4680"/>
        <w:tab w:val="right" w:pos="9360"/>
      </w:tabs>
      <w:spacing w:before="0" w:after="0"/>
    </w:pPr>
  </w:style>
  <w:style w:type="character" w:customStyle="1" w:styleId="HeaderChar">
    <w:name w:val="Header Char"/>
    <w:basedOn w:val="DefaultParagraphFont"/>
    <w:link w:val="Header"/>
    <w:uiPriority w:val="99"/>
    <w:rsid w:val="000F39F4"/>
  </w:style>
  <w:style w:type="paragraph" w:styleId="Footer">
    <w:name w:val="footer"/>
    <w:basedOn w:val="Normal"/>
    <w:link w:val="FooterChar"/>
    <w:uiPriority w:val="99"/>
    <w:unhideWhenUsed/>
    <w:rsid w:val="000F39F4"/>
    <w:pPr>
      <w:tabs>
        <w:tab w:val="center" w:pos="4680"/>
        <w:tab w:val="right" w:pos="9360"/>
      </w:tabs>
      <w:spacing w:before="0" w:after="0"/>
    </w:pPr>
  </w:style>
  <w:style w:type="character" w:customStyle="1" w:styleId="FooterChar">
    <w:name w:val="Footer Char"/>
    <w:basedOn w:val="DefaultParagraphFont"/>
    <w:link w:val="Footer"/>
    <w:uiPriority w:val="99"/>
    <w:rsid w:val="000F39F4"/>
  </w:style>
  <w:style w:type="paragraph" w:styleId="BalloonText">
    <w:name w:val="Balloon Text"/>
    <w:basedOn w:val="Normal"/>
    <w:link w:val="BalloonTextChar"/>
    <w:uiPriority w:val="99"/>
    <w:semiHidden/>
    <w:unhideWhenUsed/>
    <w:rsid w:val="000F39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5</cp:revision>
  <cp:lastPrinted>2016-06-05T15:55:00Z</cp:lastPrinted>
  <dcterms:created xsi:type="dcterms:W3CDTF">2018-01-30T13:28:00Z</dcterms:created>
  <dcterms:modified xsi:type="dcterms:W3CDTF">2018-02-05T16:11:00Z</dcterms:modified>
</cp:coreProperties>
</file>