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595"/>
      </w:tblGrid>
      <w:tr w:rsidR="00A86FCB" w:rsidRPr="003610F3" w:rsidTr="003610F3">
        <w:trPr>
          <w:trHeight w:val="810"/>
        </w:trPr>
        <w:tc>
          <w:tcPr>
            <w:tcW w:w="648" w:type="dxa"/>
          </w:tcPr>
          <w:p w:rsidR="00A86FCB" w:rsidRPr="00437A2D" w:rsidRDefault="00A86FCB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740482" w:rsidRDefault="004E35A4" w:rsidP="00B728EA">
            <w:pPr>
              <w:spacing w:before="0" w:after="0" w:line="252" w:lineRule="auto"/>
              <w:rPr>
                <w:lang w:val="fr-FR"/>
              </w:rPr>
            </w:pPr>
            <w:r>
              <w:rPr>
                <w:noProof/>
              </w:rPr>
              <w:pict>
                <v:roundrect id="Rounded Rectangle 2" o:spid="_x0000_s1026" style="position:absolute;margin-left:239.7pt;margin-top:-4.2pt;width:181.5pt;height:55.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" strokecolor="#7b7f28">
                  <v:textbox>
                    <w:txbxContent>
                      <w:p w:rsidR="003610F3" w:rsidRPr="003610F3" w:rsidRDefault="003610F3" w:rsidP="003610F3">
                        <w:pPr>
                          <w:spacing w:before="0" w:after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3610F3">
                          <w:rPr>
                            <w:sz w:val="18"/>
                            <w:szCs w:val="18"/>
                            <w:lang w:val="fr-FR"/>
                          </w:rPr>
                          <w:t xml:space="preserve">Si un espace d’entreposage est disponible, commander les vivres pendant les périodes où leurs prix sont </w:t>
                        </w:r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abordables telles que juste avant les récoltes</w:t>
                        </w:r>
                        <w:r w:rsidRPr="003610F3">
                          <w:rPr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  <w:r w:rsidR="0049068F" w:rsidRPr="00437A2D">
              <w:rPr>
                <w:lang w:val="fr-FR"/>
              </w:rPr>
              <w:t>Rechercher</w:t>
            </w:r>
            <w:r w:rsidR="00437A2D" w:rsidRPr="00437A2D">
              <w:rPr>
                <w:lang w:val="fr-FR"/>
              </w:rPr>
              <w:t xml:space="preserve"> (commander</w:t>
            </w:r>
            <w:r w:rsidR="00B728EA" w:rsidRPr="00437A2D">
              <w:rPr>
                <w:lang w:val="fr-FR"/>
              </w:rPr>
              <w:t xml:space="preserve">) la quantité adéquate </w:t>
            </w:r>
          </w:p>
          <w:p w:rsidR="00740482" w:rsidRDefault="00B728EA" w:rsidP="00740482">
            <w:pPr>
              <w:spacing w:before="0"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de vivres, dans le cas où les changements de taux </w:t>
            </w:r>
          </w:p>
          <w:p w:rsidR="00A86FCB" w:rsidRPr="00437A2D" w:rsidRDefault="00B728EA" w:rsidP="00740482">
            <w:pPr>
              <w:spacing w:before="0"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et le montant  reçu </w:t>
            </w:r>
            <w:proofErr w:type="gramStart"/>
            <w:r w:rsidRPr="00437A2D">
              <w:rPr>
                <w:lang w:val="fr-FR"/>
              </w:rPr>
              <w:t>sont</w:t>
            </w:r>
            <w:proofErr w:type="gramEnd"/>
            <w:r w:rsidRPr="00437A2D">
              <w:rPr>
                <w:lang w:val="fr-FR"/>
              </w:rPr>
              <w:t xml:space="preserve"> diminués</w:t>
            </w:r>
            <w:r w:rsidR="001A3F16" w:rsidRPr="00437A2D">
              <w:rPr>
                <w:lang w:val="fr-FR"/>
              </w:rPr>
              <w:t>.</w:t>
            </w:r>
          </w:p>
        </w:tc>
      </w:tr>
      <w:tr w:rsidR="00F96450" w:rsidRPr="003610F3" w:rsidTr="000A6875">
        <w:tc>
          <w:tcPr>
            <w:tcW w:w="648" w:type="dxa"/>
          </w:tcPr>
          <w:p w:rsidR="00F96450" w:rsidRPr="00437A2D" w:rsidRDefault="00F96450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F96450" w:rsidRPr="00437A2D" w:rsidRDefault="00B116AF" w:rsidP="0031630C">
            <w:p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>Déterminer l'emballage de la cargaison</w:t>
            </w:r>
          </w:p>
          <w:p w:rsidR="00F96450" w:rsidRPr="00437A2D" w:rsidRDefault="004D13DE" w:rsidP="00C512D6">
            <w:pPr>
              <w:pStyle w:val="ListParagraph"/>
              <w:numPr>
                <w:ilvl w:val="0"/>
                <w:numId w:val="9"/>
              </w:numPr>
              <w:spacing w:after="0" w:line="252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La cargaison</w:t>
            </w:r>
            <w:r w:rsidR="00C512D6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r w:rsidR="00C83A7A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mise en conteneur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est expédiée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en</w:t>
            </w:r>
            <w:r w:rsidR="00C512D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conteneurs 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de transport </w:t>
            </w:r>
            <w:r w:rsidR="00C512D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de 20 ou de 40 pieds dans le pays d'exportation afin de lutter co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ntre la fraude. Le transport des vivres dans d</w:t>
            </w:r>
            <w:r w:rsidR="00C512D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es conteneurs réduit considérablement les pertes liées à la manutention et 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peut protéger contre les dommages causés par </w:t>
            </w:r>
            <w:r w:rsidR="00C512D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l'humidité, mais la capacité de déchargement du port et la disponibilité du transport terrestre pour transporter les conteneurs chargés doivent être vérifiées. Les expéditions en conteneurs </w:t>
            </w:r>
            <w:r w:rsidR="00B116AF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concernant  </w:t>
            </w:r>
            <w:r w:rsidR="00C512D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l'huile végétale peuvent être rentables</w:t>
            </w:r>
            <w:r w:rsidR="0031630C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  <w:p w:rsidR="00F96450" w:rsidRPr="00437A2D" w:rsidRDefault="004D13DE" w:rsidP="007037AD">
            <w:pPr>
              <w:pStyle w:val="ListParagraph"/>
              <w:numPr>
                <w:ilvl w:val="0"/>
                <w:numId w:val="9"/>
              </w:numPr>
              <w:spacing w:after="0" w:line="252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La</w:t>
            </w:r>
            <w:r w:rsidR="007037AD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cargaison</w:t>
            </w:r>
            <w:r w:rsidR="007037AD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de vivres</w:t>
            </w:r>
            <w:r w:rsidR="00BC42C0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divers</w:t>
            </w:r>
            <w:r w:rsidR="007037AD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est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préemballée dans des sacs individuels (généralement 25 ou 50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kg), des sacs ou des </w:t>
            </w:r>
            <w:r w:rsidR="00437A2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fûts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. E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lle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peut ou non être 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mis en conteneur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Elle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peut être déchargé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e</w:t>
            </w:r>
            <w:r w:rsidR="00BC42C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par une</w:t>
            </w:r>
            <w:r w:rsidR="007037A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grue ou </w:t>
            </w:r>
            <w:r w:rsidR="00437A2D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manuellement</w:t>
            </w:r>
            <w:r w:rsidR="00F9645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  <w:p w:rsidR="00F96450" w:rsidRPr="00437A2D" w:rsidRDefault="00212884" w:rsidP="00437A2D">
            <w:pPr>
              <w:pStyle w:val="ListParagraph"/>
              <w:numPr>
                <w:ilvl w:val="0"/>
                <w:numId w:val="9"/>
              </w:numPr>
              <w:spacing w:after="0" w:line="252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La cargaison </w:t>
            </w:r>
            <w:r w:rsidR="00455CD1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de vivres </w:t>
            </w: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en vrac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n'est pas préemballée. </w:t>
            </w:r>
            <w:bookmarkStart w:id="0" w:name="_GoBack"/>
            <w:bookmarkEnd w:id="0"/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Elle est soit mis en sac à quai ou transféré 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de la cale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par un 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équipement  sous vide</w:t>
            </w:r>
            <w:r w:rsidR="00B116AF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au stockage du silo puis mis en sac à la machine sur le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quai. Le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s sacs vides peuvent être livr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és avec les vivres ou, achetés localement avec 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l</w:t>
            </w:r>
            <w:r w:rsidR="00ED1784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'autorisation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du donateur.</w:t>
            </w: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Vérifier la disponibilité des sacs et des </w:t>
            </w:r>
            <w:r w:rsidR="00437A2D"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équipements d’ensachage</w:t>
            </w:r>
            <w:r w:rsidRPr="00437A2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avant de passer une commande de vivres en vrac</w:t>
            </w:r>
            <w:r w:rsidR="00F9645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212884" w:rsidP="00437A2D">
            <w:p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>Vérifier la date de</w:t>
            </w:r>
            <w:r w:rsidR="006F66A9" w:rsidRPr="00437A2D">
              <w:rPr>
                <w:lang w:val="fr-FR"/>
              </w:rPr>
              <w:t xml:space="preserve"> la </w:t>
            </w:r>
            <w:r w:rsidRPr="00437A2D">
              <w:rPr>
                <w:lang w:val="fr-FR"/>
              </w:rPr>
              <w:t xml:space="preserve"> livraison </w:t>
            </w:r>
            <w:r w:rsidR="00437A2D" w:rsidRPr="00437A2D">
              <w:rPr>
                <w:lang w:val="fr-FR"/>
              </w:rPr>
              <w:t>des vivres</w:t>
            </w:r>
            <w:r w:rsidRPr="00437A2D">
              <w:rPr>
                <w:lang w:val="fr-FR"/>
              </w:rPr>
              <w:t xml:space="preserve"> - en fonction </w:t>
            </w:r>
            <w:r w:rsidR="006F66A9" w:rsidRPr="00437A2D">
              <w:rPr>
                <w:lang w:val="fr-FR"/>
              </w:rPr>
              <w:t>de la date de l’ordre de vente</w:t>
            </w:r>
            <w:r w:rsidRPr="00437A2D">
              <w:rPr>
                <w:lang w:val="fr-FR"/>
              </w:rPr>
              <w:t xml:space="preserve"> qui a été saisie dans le système WBSCM - Au niveau du calendrier d'appel automatique actuel du FFP, disponible à</w:t>
            </w:r>
            <w:r w:rsidR="00106D14" w:rsidRPr="00437A2D">
              <w:rPr>
                <w:lang w:val="fr-FR"/>
              </w:rPr>
              <w:t xml:space="preserve"> </w:t>
            </w:r>
            <w:hyperlink r:id="rId7" w:history="1">
              <w:r w:rsidR="00106D14" w:rsidRPr="00437A2D">
                <w:rPr>
                  <w:rStyle w:val="Hyperlink"/>
                  <w:color w:val="237990"/>
                  <w:lang w:val="fr-FR"/>
                </w:rPr>
                <w:t>http://www.usaid.gov/what-we-do/agriculture-and-food-security/food-assistance/resources/implementation-tools</w:t>
              </w:r>
            </w:hyperlink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212884" w:rsidP="00437A2D">
            <w:pPr>
              <w:rPr>
                <w:lang w:val="fr-FR"/>
              </w:rPr>
            </w:pPr>
            <w:r w:rsidRPr="00437A2D">
              <w:rPr>
                <w:lang w:val="fr-FR"/>
              </w:rPr>
              <w:t>Vérifie</w:t>
            </w:r>
            <w:r w:rsidR="00437A2D" w:rsidRPr="00437A2D">
              <w:rPr>
                <w:lang w:val="fr-FR"/>
              </w:rPr>
              <w:t>r</w:t>
            </w:r>
            <w:r w:rsidRPr="00437A2D">
              <w:rPr>
                <w:lang w:val="fr-FR"/>
              </w:rPr>
              <w:t xml:space="preserve"> le port de décharge</w:t>
            </w:r>
            <w:r w:rsidR="00437A2D" w:rsidRPr="00437A2D">
              <w:rPr>
                <w:lang w:val="fr-FR"/>
              </w:rPr>
              <w:t>ment</w:t>
            </w:r>
            <w:r w:rsidRPr="00437A2D">
              <w:rPr>
                <w:lang w:val="fr-FR"/>
              </w:rPr>
              <w:t xml:space="preserve"> et la destination finale</w:t>
            </w:r>
            <w:r w:rsidR="001A3F16" w:rsidRPr="00437A2D">
              <w:rPr>
                <w:lang w:val="fr-FR"/>
              </w:rPr>
              <w:t>.</w:t>
            </w:r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212884" w:rsidP="0031630C">
            <w:p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Déterminer la faisabilité du connaissement direct </w:t>
            </w:r>
            <w:r w:rsidR="00043CFC" w:rsidRPr="00437A2D">
              <w:rPr>
                <w:lang w:val="fr-FR"/>
              </w:rPr>
              <w:t xml:space="preserve"> </w:t>
            </w:r>
            <w:r w:rsidR="00695BA9" w:rsidRPr="00437A2D">
              <w:rPr>
                <w:lang w:val="fr-FR"/>
              </w:rPr>
              <w:t>(TB/L)</w:t>
            </w:r>
            <w:r w:rsidR="001A3F16" w:rsidRPr="00437A2D">
              <w:rPr>
                <w:lang w:val="fr-FR"/>
              </w:rPr>
              <w:t>.</w:t>
            </w:r>
          </w:p>
          <w:p w:rsidR="005933F0" w:rsidRPr="00437A2D" w:rsidRDefault="00043CFC" w:rsidP="00043CFC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La compagnie maritime </w:t>
            </w:r>
            <w:r w:rsidR="005D11FA" w:rsidRPr="00437A2D">
              <w:rPr>
                <w:lang w:val="fr-FR"/>
              </w:rPr>
              <w:t>assum</w:t>
            </w:r>
            <w:r w:rsidRPr="00437A2D">
              <w:rPr>
                <w:lang w:val="fr-FR"/>
              </w:rPr>
              <w:t xml:space="preserve">e la garde de la cargaison jusqu'à ce qu'elle arrive à la destination finale indiquée sur le connaissement </w:t>
            </w:r>
            <w:r w:rsidR="006F66A9" w:rsidRPr="00437A2D">
              <w:rPr>
                <w:lang w:val="fr-FR"/>
              </w:rPr>
              <w:t xml:space="preserve">direct. </w:t>
            </w:r>
            <w:r w:rsidR="00E56FBE" w:rsidRPr="00437A2D">
              <w:rPr>
                <w:lang w:val="fr-FR"/>
              </w:rPr>
              <w:t xml:space="preserve">Les </w:t>
            </w:r>
            <w:r w:rsidR="00437A2D" w:rsidRPr="00437A2D">
              <w:rPr>
                <w:lang w:val="fr-FR"/>
              </w:rPr>
              <w:t>coûts</w:t>
            </w:r>
            <w:r w:rsidR="00E56FBE" w:rsidRPr="00437A2D">
              <w:rPr>
                <w:lang w:val="fr-FR"/>
              </w:rPr>
              <w:t xml:space="preserve"> des opérations portuaires et de toutes les pertes subies pendant le déchargement et le transport interne jusqu’à cette destination finale sont pris en charge par la compagnie de fret.</w:t>
            </w:r>
          </w:p>
          <w:p w:rsidR="005933F0" w:rsidRPr="00437A2D" w:rsidRDefault="00E56FBE" w:rsidP="00043CFC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>Le</w:t>
            </w:r>
            <w:r w:rsidR="00043CFC" w:rsidRPr="00437A2D">
              <w:rPr>
                <w:lang w:val="fr-FR"/>
              </w:rPr>
              <w:t xml:space="preserve"> connaissement direct est souvent la meilleure alternative dans les pays enclavés, les pays </w:t>
            </w:r>
            <w:r w:rsidRPr="00437A2D">
              <w:rPr>
                <w:lang w:val="fr-FR"/>
              </w:rPr>
              <w:t>ayant subi des</w:t>
            </w:r>
            <w:r w:rsidR="00043CFC" w:rsidRPr="00437A2D">
              <w:rPr>
                <w:lang w:val="fr-FR"/>
              </w:rPr>
              <w:t xml:space="preserve"> pertes</w:t>
            </w:r>
            <w:r w:rsidRPr="00437A2D">
              <w:rPr>
                <w:lang w:val="fr-FR"/>
              </w:rPr>
              <w:t xml:space="preserve"> importantes</w:t>
            </w:r>
            <w:r w:rsidR="00043CFC" w:rsidRPr="00437A2D">
              <w:rPr>
                <w:lang w:val="fr-FR"/>
              </w:rPr>
              <w:t xml:space="preserve"> de vivres </w:t>
            </w:r>
            <w:r w:rsidRPr="00437A2D">
              <w:rPr>
                <w:lang w:val="fr-FR"/>
              </w:rPr>
              <w:t>au niveau du port, ou pendant le transbordement</w:t>
            </w:r>
            <w:r w:rsidR="00043CFC" w:rsidRPr="00437A2D">
              <w:rPr>
                <w:lang w:val="fr-FR"/>
              </w:rPr>
              <w:t xml:space="preserve"> (déchargé</w:t>
            </w:r>
            <w:r w:rsidR="00235F76" w:rsidRPr="00437A2D">
              <w:rPr>
                <w:lang w:val="fr-FR"/>
              </w:rPr>
              <w:t>s</w:t>
            </w:r>
            <w:r w:rsidR="00043CFC" w:rsidRPr="00437A2D">
              <w:rPr>
                <w:lang w:val="fr-FR"/>
              </w:rPr>
              <w:t xml:space="preserve"> dans un port principal puis </w:t>
            </w:r>
            <w:r w:rsidRPr="00437A2D">
              <w:rPr>
                <w:lang w:val="fr-FR"/>
              </w:rPr>
              <w:t xml:space="preserve">directement </w:t>
            </w:r>
            <w:r w:rsidR="00043CFC" w:rsidRPr="00437A2D">
              <w:rPr>
                <w:lang w:val="fr-FR"/>
              </w:rPr>
              <w:t>chargé</w:t>
            </w:r>
            <w:r w:rsidR="00235F76" w:rsidRPr="00437A2D">
              <w:rPr>
                <w:lang w:val="fr-FR"/>
              </w:rPr>
              <w:t>s</w:t>
            </w:r>
            <w:r w:rsidR="00043CFC" w:rsidRPr="00437A2D">
              <w:rPr>
                <w:lang w:val="fr-FR"/>
              </w:rPr>
              <w:t xml:space="preserve"> sur d</w:t>
            </w:r>
            <w:r w:rsidRPr="00437A2D">
              <w:rPr>
                <w:lang w:val="fr-FR"/>
              </w:rPr>
              <w:t>es navires locaux pour livraison</w:t>
            </w:r>
            <w:r w:rsidR="00043CFC" w:rsidRPr="00437A2D">
              <w:rPr>
                <w:lang w:val="fr-FR"/>
              </w:rPr>
              <w:t xml:space="preserve"> vers d'autr</w:t>
            </w:r>
            <w:r w:rsidR="00235F76" w:rsidRPr="00437A2D">
              <w:rPr>
                <w:lang w:val="fr-FR"/>
              </w:rPr>
              <w:t>es ports côtiers ou intérieurs)</w:t>
            </w:r>
            <w:r w:rsidR="005933F0" w:rsidRPr="00437A2D">
              <w:rPr>
                <w:lang w:val="fr-FR"/>
              </w:rPr>
              <w:t>.</w:t>
            </w:r>
          </w:p>
          <w:p w:rsidR="005933F0" w:rsidRPr="00437A2D" w:rsidRDefault="0094087B" w:rsidP="0094087B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Un connaissement direct </w:t>
            </w:r>
            <w:r w:rsidR="0049068F" w:rsidRPr="00437A2D">
              <w:rPr>
                <w:lang w:val="fr-FR"/>
              </w:rPr>
              <w:t>augmente le coût pour le donateur</w:t>
            </w:r>
            <w:r w:rsidRPr="00437A2D">
              <w:rPr>
                <w:lang w:val="fr-FR"/>
              </w:rPr>
              <w:t>, mais cela peut être compensé par une baisse des pertes portuaires ou une augmentation de la facilité de recouvrement des réclamations des compagnies maritimes</w:t>
            </w:r>
            <w:r w:rsidR="005933F0" w:rsidRPr="00437A2D">
              <w:rPr>
                <w:lang w:val="fr-FR"/>
              </w:rPr>
              <w:t>.</w:t>
            </w:r>
          </w:p>
          <w:p w:rsidR="005933F0" w:rsidRPr="00437A2D" w:rsidRDefault="0094087B" w:rsidP="0094087B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>Vérifier si la permission du gouvernement local est requise pour utiliser un connaissement direct</w:t>
            </w:r>
            <w:r w:rsidR="005933F0" w:rsidRPr="00437A2D">
              <w:rPr>
                <w:lang w:val="fr-FR"/>
              </w:rPr>
              <w:t xml:space="preserve">. </w:t>
            </w:r>
          </w:p>
          <w:p w:rsidR="005933F0" w:rsidRPr="00437A2D" w:rsidRDefault="0094087B" w:rsidP="0094087B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En ce qui concerne les cargaisons </w:t>
            </w:r>
            <w:r w:rsidR="00E56FBE" w:rsidRPr="00437A2D">
              <w:rPr>
                <w:lang w:val="fr-FR"/>
              </w:rPr>
              <w:t xml:space="preserve">mises </w:t>
            </w:r>
            <w:r w:rsidRPr="00437A2D">
              <w:rPr>
                <w:lang w:val="fr-FR"/>
              </w:rPr>
              <w:t xml:space="preserve">en conteneurs, les agents des douanes peuvent briser les scellés de conteneurs dans le port pour </w:t>
            </w:r>
            <w:r w:rsidR="00437A2D" w:rsidRPr="00437A2D">
              <w:rPr>
                <w:lang w:val="fr-FR"/>
              </w:rPr>
              <w:t xml:space="preserve">examiner le </w:t>
            </w:r>
            <w:r w:rsidRPr="00437A2D">
              <w:rPr>
                <w:lang w:val="fr-FR"/>
              </w:rPr>
              <w:t xml:space="preserve">contenu </w:t>
            </w:r>
            <w:r w:rsidR="00437A2D" w:rsidRPr="00437A2D">
              <w:rPr>
                <w:lang w:val="fr-FR"/>
              </w:rPr>
              <w:t xml:space="preserve">et vérifier s’il y a </w:t>
            </w:r>
            <w:r w:rsidRPr="00437A2D">
              <w:rPr>
                <w:lang w:val="fr-FR"/>
              </w:rPr>
              <w:t xml:space="preserve">des </w:t>
            </w:r>
            <w:r w:rsidR="00057780" w:rsidRPr="00437A2D">
              <w:rPr>
                <w:lang w:val="fr-FR"/>
              </w:rPr>
              <w:t>médicaments</w:t>
            </w:r>
            <w:r w:rsidRPr="00437A2D">
              <w:rPr>
                <w:lang w:val="fr-FR"/>
              </w:rPr>
              <w:t xml:space="preserve">, des armes ou d'autres </w:t>
            </w:r>
            <w:r w:rsidR="00437A2D" w:rsidRPr="00437A2D">
              <w:rPr>
                <w:lang w:val="fr-FR"/>
              </w:rPr>
              <w:t>articles de fraude.</w:t>
            </w:r>
            <w:r w:rsidRPr="00437A2D">
              <w:rPr>
                <w:lang w:val="fr-FR"/>
              </w:rPr>
              <w:t xml:space="preserve"> Si c'est le cas, les scellés s</w:t>
            </w:r>
            <w:r w:rsidR="0049068F" w:rsidRPr="00437A2D">
              <w:rPr>
                <w:lang w:val="fr-FR"/>
              </w:rPr>
              <w:t>er</w:t>
            </w:r>
            <w:r w:rsidRPr="00437A2D">
              <w:rPr>
                <w:lang w:val="fr-FR"/>
              </w:rPr>
              <w:t>ont remplacés et les détails des nouveaux scellés s</w:t>
            </w:r>
            <w:r w:rsidR="0049068F" w:rsidRPr="00437A2D">
              <w:rPr>
                <w:lang w:val="fr-FR"/>
              </w:rPr>
              <w:t>er</w:t>
            </w:r>
            <w:r w:rsidRPr="00437A2D">
              <w:rPr>
                <w:lang w:val="fr-FR"/>
              </w:rPr>
              <w:t>ont consignés dans la documentation de dédouanement</w:t>
            </w:r>
            <w:r w:rsidR="005933F0" w:rsidRPr="00437A2D">
              <w:rPr>
                <w:lang w:val="fr-FR"/>
              </w:rPr>
              <w:t>.</w:t>
            </w:r>
          </w:p>
          <w:p w:rsidR="00A80FF8" w:rsidRPr="00437A2D" w:rsidRDefault="00057780" w:rsidP="00437A2D">
            <w:pPr>
              <w:numPr>
                <w:ilvl w:val="0"/>
                <w:numId w:val="7"/>
              </w:num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lastRenderedPageBreak/>
              <w:t xml:space="preserve">Le bénéficiaire du contrat a un contrôle limité sur le temps de livraison de la cargaison jusqu'à la destination finale lorsqu'un connaissement direct est utilisé. Si possible, </w:t>
            </w:r>
            <w:r w:rsidR="00437A2D" w:rsidRPr="00437A2D">
              <w:rPr>
                <w:lang w:val="fr-FR"/>
              </w:rPr>
              <w:t>s’assurer</w:t>
            </w:r>
            <w:r w:rsidRPr="00437A2D">
              <w:rPr>
                <w:lang w:val="fr-FR"/>
              </w:rPr>
              <w:t xml:space="preserve"> que les accords avec les compagnies maritimes incluent des clauses de paiement seulement </w:t>
            </w:r>
            <w:r w:rsidR="00437A2D" w:rsidRPr="00437A2D">
              <w:rPr>
                <w:lang w:val="fr-FR"/>
              </w:rPr>
              <w:t>à</w:t>
            </w:r>
            <w:r w:rsidRPr="00437A2D">
              <w:rPr>
                <w:lang w:val="fr-FR"/>
              </w:rPr>
              <w:t xml:space="preserve"> la livraison. Examiner </w:t>
            </w:r>
            <w:r w:rsidR="00437A2D" w:rsidRPr="00437A2D">
              <w:rPr>
                <w:lang w:val="fr-FR"/>
              </w:rPr>
              <w:t>le</w:t>
            </w:r>
            <w:r w:rsidRPr="00437A2D">
              <w:rPr>
                <w:lang w:val="fr-FR"/>
              </w:rPr>
              <w:t xml:space="preserve"> décharge</w:t>
            </w:r>
            <w:r w:rsidR="00437A2D" w:rsidRPr="00437A2D">
              <w:rPr>
                <w:lang w:val="fr-FR"/>
              </w:rPr>
              <w:t xml:space="preserve">ment et l'expédition avec le commissionnaire de transport </w:t>
            </w:r>
            <w:r w:rsidRPr="00437A2D">
              <w:rPr>
                <w:lang w:val="fr-FR"/>
              </w:rPr>
              <w:t>et le transitaire</w:t>
            </w:r>
            <w:r w:rsidR="005933F0" w:rsidRPr="00437A2D">
              <w:rPr>
                <w:lang w:val="fr-FR"/>
              </w:rPr>
              <w:t>.</w:t>
            </w:r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057780" w:rsidP="0031630C">
            <w:p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>Déterminer la certification (origine, fumigation, phytosanitaire) et les exigences en matière d'importation pour les pays hôtes et (le cas échéant) de transit</w:t>
            </w:r>
            <w:r w:rsidR="001A3F16" w:rsidRPr="00437A2D">
              <w:rPr>
                <w:lang w:val="fr-FR"/>
              </w:rPr>
              <w:t>.</w:t>
            </w:r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1A3F16">
            <w:pPr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437A2D" w:rsidP="00437A2D">
            <w:pPr>
              <w:spacing w:after="0" w:line="252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Vérifier </w:t>
            </w:r>
            <w:r w:rsidR="0005778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que les informations de connexion </w:t>
            </w:r>
            <w:r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au système WBSCM </w:t>
            </w:r>
            <w:r w:rsidR="00057780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sont valides</w:t>
            </w:r>
            <w:r w:rsidR="001A3F16" w:rsidRPr="00437A2D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</w:tr>
      <w:tr w:rsidR="00106D14" w:rsidRPr="003610F3" w:rsidTr="000A6875">
        <w:tc>
          <w:tcPr>
            <w:tcW w:w="648" w:type="dxa"/>
          </w:tcPr>
          <w:p w:rsidR="00106D14" w:rsidRPr="00437A2D" w:rsidRDefault="00106D14" w:rsidP="00E66321">
            <w:pPr>
              <w:spacing w:after="0"/>
              <w:rPr>
                <w:sz w:val="28"/>
                <w:szCs w:val="28"/>
                <w:lang w:val="fr-FR"/>
              </w:rPr>
            </w:pPr>
            <w:r w:rsidRPr="00437A2D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106D14" w:rsidRPr="00437A2D" w:rsidRDefault="00445E9F" w:rsidP="00437A2D">
            <w:pPr>
              <w:spacing w:after="0" w:line="252" w:lineRule="auto"/>
              <w:rPr>
                <w:lang w:val="fr-FR"/>
              </w:rPr>
            </w:pPr>
            <w:r w:rsidRPr="00437A2D">
              <w:rPr>
                <w:lang w:val="fr-FR"/>
              </w:rPr>
              <w:t xml:space="preserve">Diviser les commandes si nécessaire pour éviter les problèmes  avec  le WBSCM qui se produisent avec </w:t>
            </w:r>
            <w:r w:rsidR="00437A2D" w:rsidRPr="00437A2D">
              <w:rPr>
                <w:lang w:val="fr-FR"/>
              </w:rPr>
              <w:t>les commandes groupées et celles impliquant de grosses quantités de vivres en vrac</w:t>
            </w:r>
            <w:r w:rsidR="001A3F16" w:rsidRPr="00437A2D">
              <w:rPr>
                <w:lang w:val="fr-FR"/>
              </w:rPr>
              <w:t>.</w:t>
            </w:r>
          </w:p>
        </w:tc>
      </w:tr>
    </w:tbl>
    <w:p w:rsidR="004115AE" w:rsidRPr="00437A2D" w:rsidRDefault="004115AE" w:rsidP="005933F0">
      <w:pPr>
        <w:rPr>
          <w:rFonts w:ascii="Calibri" w:eastAsia="Times New Roman" w:hAnsi="Calibri" w:cs="Times New Roman"/>
          <w:color w:val="000000"/>
          <w:sz w:val="18"/>
          <w:szCs w:val="18"/>
          <w:lang w:val="fr-FR"/>
        </w:rPr>
      </w:pPr>
    </w:p>
    <w:sectPr w:rsidR="004115AE" w:rsidRPr="00437A2D" w:rsidSect="007F26F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FE" w:rsidRDefault="00FA35FE" w:rsidP="007F26FC">
      <w:pPr>
        <w:spacing w:before="0" w:after="0"/>
      </w:pPr>
      <w:r>
        <w:separator/>
      </w:r>
    </w:p>
  </w:endnote>
  <w:endnote w:type="continuationSeparator" w:id="0">
    <w:p w:rsidR="00FA35FE" w:rsidRDefault="00FA35FE" w:rsidP="007F26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74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26FC" w:rsidRPr="00175109" w:rsidRDefault="007F26FC">
            <w:pPr>
              <w:pStyle w:val="Footer"/>
              <w:jc w:val="center"/>
            </w:pPr>
            <w:r w:rsidRPr="00175109">
              <w:t xml:space="preserve">Page </w:t>
            </w:r>
            <w:r w:rsidR="004E35A4" w:rsidRPr="00175109">
              <w:fldChar w:fldCharType="begin"/>
            </w:r>
            <w:r w:rsidRPr="00175109">
              <w:instrText xml:space="preserve"> PAGE </w:instrText>
            </w:r>
            <w:r w:rsidR="004E35A4" w:rsidRPr="00175109">
              <w:fldChar w:fldCharType="separate"/>
            </w:r>
            <w:r w:rsidR="00740482">
              <w:rPr>
                <w:noProof/>
              </w:rPr>
              <w:t>2</w:t>
            </w:r>
            <w:r w:rsidR="004E35A4" w:rsidRPr="00175109">
              <w:fldChar w:fldCharType="end"/>
            </w:r>
            <w:r w:rsidRPr="00175109">
              <w:t xml:space="preserve"> </w:t>
            </w:r>
            <w:r w:rsidR="00740482">
              <w:t>/</w:t>
            </w:r>
            <w:r w:rsidRPr="00175109">
              <w:t xml:space="preserve"> </w:t>
            </w:r>
            <w:r w:rsidR="004E35A4" w:rsidRPr="00175109">
              <w:fldChar w:fldCharType="begin"/>
            </w:r>
            <w:r w:rsidRPr="00175109">
              <w:instrText xml:space="preserve"> NUMPAGES  </w:instrText>
            </w:r>
            <w:r w:rsidR="004E35A4" w:rsidRPr="00175109">
              <w:fldChar w:fldCharType="separate"/>
            </w:r>
            <w:r w:rsidR="00740482">
              <w:rPr>
                <w:noProof/>
              </w:rPr>
              <w:t>2</w:t>
            </w:r>
            <w:r w:rsidR="004E35A4" w:rsidRPr="00175109">
              <w:fldChar w:fldCharType="end"/>
            </w:r>
          </w:p>
        </w:sdtContent>
      </w:sdt>
    </w:sdtContent>
  </w:sdt>
  <w:p w:rsidR="007F26FC" w:rsidRDefault="007F2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FE" w:rsidRDefault="00FA35FE" w:rsidP="007F26FC">
      <w:pPr>
        <w:spacing w:before="0" w:after="0"/>
      </w:pPr>
      <w:r>
        <w:separator/>
      </w:r>
    </w:p>
  </w:footnote>
  <w:footnote w:type="continuationSeparator" w:id="0">
    <w:p w:rsidR="00FA35FE" w:rsidRDefault="00FA35FE" w:rsidP="007F26F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FC" w:rsidRPr="00B116AF" w:rsidRDefault="00B116AF" w:rsidP="007F26FC">
    <w:pPr>
      <w:pStyle w:val="Header"/>
      <w:jc w:val="center"/>
      <w:rPr>
        <w:b/>
        <w:sz w:val="28"/>
        <w:szCs w:val="28"/>
        <w:lang w:val="fr-FR"/>
      </w:rPr>
    </w:pPr>
    <w:r w:rsidRPr="00B116AF">
      <w:rPr>
        <w:b/>
        <w:color w:val="237990"/>
        <w:sz w:val="28"/>
        <w:szCs w:val="28"/>
        <w:lang w:val="fr-FR"/>
      </w:rPr>
      <w:t xml:space="preserve">LISTE DE CONTROLE pour la </w:t>
    </w:r>
    <w:r w:rsidR="006F66A9" w:rsidRPr="00B116AF">
      <w:rPr>
        <w:b/>
        <w:color w:val="237990"/>
        <w:sz w:val="28"/>
        <w:szCs w:val="28"/>
        <w:lang w:val="fr-FR"/>
      </w:rPr>
      <w:t>préparation</w:t>
    </w:r>
    <w:r w:rsidRPr="00B116AF">
      <w:rPr>
        <w:b/>
        <w:color w:val="237990"/>
        <w:sz w:val="28"/>
        <w:szCs w:val="28"/>
        <w:lang w:val="fr-FR"/>
      </w:rPr>
      <w:t xml:space="preserve"> des ordres de ventes</w:t>
    </w:r>
  </w:p>
  <w:p w:rsidR="007F26FC" w:rsidRPr="00B116AF" w:rsidRDefault="007F26FC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015"/>
    <w:multiLevelType w:val="hybridMultilevel"/>
    <w:tmpl w:val="69AA1BBE"/>
    <w:lvl w:ilvl="0" w:tplc="08F4B99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6020"/>
    <w:multiLevelType w:val="hybridMultilevel"/>
    <w:tmpl w:val="ECC25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4E18"/>
    <w:multiLevelType w:val="hybridMultilevel"/>
    <w:tmpl w:val="75FA6DE0"/>
    <w:lvl w:ilvl="0" w:tplc="08F4B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710BD"/>
    <w:multiLevelType w:val="hybridMultilevel"/>
    <w:tmpl w:val="970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4622"/>
    <w:multiLevelType w:val="hybridMultilevel"/>
    <w:tmpl w:val="B9767A1C"/>
    <w:lvl w:ilvl="0" w:tplc="08F4B99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D5A84"/>
    <w:multiLevelType w:val="hybridMultilevel"/>
    <w:tmpl w:val="8E5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0C9B"/>
    <w:multiLevelType w:val="hybridMultilevel"/>
    <w:tmpl w:val="76146CA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65504"/>
    <w:multiLevelType w:val="hybridMultilevel"/>
    <w:tmpl w:val="9C086940"/>
    <w:lvl w:ilvl="0" w:tplc="01BA833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A14A73"/>
    <w:multiLevelType w:val="hybridMultilevel"/>
    <w:tmpl w:val="D8C6B752"/>
    <w:lvl w:ilvl="0" w:tplc="08F4B99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5528"/>
    <w:rsid w:val="00026341"/>
    <w:rsid w:val="00043CFC"/>
    <w:rsid w:val="00057780"/>
    <w:rsid w:val="00064FF7"/>
    <w:rsid w:val="000A6875"/>
    <w:rsid w:val="000B75D5"/>
    <w:rsid w:val="000E600E"/>
    <w:rsid w:val="000F55D3"/>
    <w:rsid w:val="00104CD1"/>
    <w:rsid w:val="00106D14"/>
    <w:rsid w:val="00165D64"/>
    <w:rsid w:val="00175109"/>
    <w:rsid w:val="001A3F16"/>
    <w:rsid w:val="001B5528"/>
    <w:rsid w:val="001E2A9E"/>
    <w:rsid w:val="001E6FFA"/>
    <w:rsid w:val="00212884"/>
    <w:rsid w:val="00217904"/>
    <w:rsid w:val="002243F3"/>
    <w:rsid w:val="002305AD"/>
    <w:rsid w:val="00230F56"/>
    <w:rsid w:val="00235F76"/>
    <w:rsid w:val="002816CF"/>
    <w:rsid w:val="00285C54"/>
    <w:rsid w:val="00294A66"/>
    <w:rsid w:val="002B05B5"/>
    <w:rsid w:val="002E0D1A"/>
    <w:rsid w:val="002E1FB6"/>
    <w:rsid w:val="0031630C"/>
    <w:rsid w:val="00330FED"/>
    <w:rsid w:val="00332078"/>
    <w:rsid w:val="00341B54"/>
    <w:rsid w:val="003610F3"/>
    <w:rsid w:val="00371343"/>
    <w:rsid w:val="00386ED5"/>
    <w:rsid w:val="00404A18"/>
    <w:rsid w:val="00407BBC"/>
    <w:rsid w:val="004115AE"/>
    <w:rsid w:val="00437A2D"/>
    <w:rsid w:val="00445E9F"/>
    <w:rsid w:val="00455CD1"/>
    <w:rsid w:val="004752A5"/>
    <w:rsid w:val="0049068F"/>
    <w:rsid w:val="004D13DE"/>
    <w:rsid w:val="004E103B"/>
    <w:rsid w:val="004E2773"/>
    <w:rsid w:val="004E35A4"/>
    <w:rsid w:val="005603D4"/>
    <w:rsid w:val="00561267"/>
    <w:rsid w:val="005640A8"/>
    <w:rsid w:val="00577019"/>
    <w:rsid w:val="005933F0"/>
    <w:rsid w:val="005A1C7D"/>
    <w:rsid w:val="005B721B"/>
    <w:rsid w:val="005D11FA"/>
    <w:rsid w:val="006018A3"/>
    <w:rsid w:val="00603EB8"/>
    <w:rsid w:val="00695BA9"/>
    <w:rsid w:val="006F1A6B"/>
    <w:rsid w:val="006F66A9"/>
    <w:rsid w:val="007037AD"/>
    <w:rsid w:val="00716193"/>
    <w:rsid w:val="00740482"/>
    <w:rsid w:val="0076369C"/>
    <w:rsid w:val="00783BFB"/>
    <w:rsid w:val="007950F5"/>
    <w:rsid w:val="007C583B"/>
    <w:rsid w:val="007F26FC"/>
    <w:rsid w:val="00801CF6"/>
    <w:rsid w:val="008122B2"/>
    <w:rsid w:val="00856BBE"/>
    <w:rsid w:val="008D0452"/>
    <w:rsid w:val="00936ACA"/>
    <w:rsid w:val="0094087B"/>
    <w:rsid w:val="009573B4"/>
    <w:rsid w:val="0095775F"/>
    <w:rsid w:val="009809B6"/>
    <w:rsid w:val="0098237A"/>
    <w:rsid w:val="009D393B"/>
    <w:rsid w:val="00A16626"/>
    <w:rsid w:val="00A61817"/>
    <w:rsid w:val="00A80FF8"/>
    <w:rsid w:val="00A86FCB"/>
    <w:rsid w:val="00B116AF"/>
    <w:rsid w:val="00B728EA"/>
    <w:rsid w:val="00B852FF"/>
    <w:rsid w:val="00BC42C0"/>
    <w:rsid w:val="00C51277"/>
    <w:rsid w:val="00C512D6"/>
    <w:rsid w:val="00C83A7A"/>
    <w:rsid w:val="00CA502F"/>
    <w:rsid w:val="00CC693D"/>
    <w:rsid w:val="00D0139C"/>
    <w:rsid w:val="00D01C24"/>
    <w:rsid w:val="00D27CF8"/>
    <w:rsid w:val="00D65E2B"/>
    <w:rsid w:val="00D943FD"/>
    <w:rsid w:val="00E34AD2"/>
    <w:rsid w:val="00E56FBE"/>
    <w:rsid w:val="00E66321"/>
    <w:rsid w:val="00E8464D"/>
    <w:rsid w:val="00E86AEE"/>
    <w:rsid w:val="00E87E05"/>
    <w:rsid w:val="00EA09DC"/>
    <w:rsid w:val="00EA3D73"/>
    <w:rsid w:val="00EB11B7"/>
    <w:rsid w:val="00ED1784"/>
    <w:rsid w:val="00F96450"/>
    <w:rsid w:val="00FA35FE"/>
    <w:rsid w:val="00FB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E2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6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6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26FC"/>
  </w:style>
  <w:style w:type="paragraph" w:styleId="Footer">
    <w:name w:val="footer"/>
    <w:basedOn w:val="Normal"/>
    <w:link w:val="FooterChar"/>
    <w:uiPriority w:val="99"/>
    <w:unhideWhenUsed/>
    <w:rsid w:val="007F26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26FC"/>
  </w:style>
  <w:style w:type="table" w:styleId="TableGrid">
    <w:name w:val="Table Grid"/>
    <w:basedOn w:val="TableNormal"/>
    <w:uiPriority w:val="59"/>
    <w:rsid w:val="0033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id.gov/what-we-do/agriculture-and-food-security/food-assistance/resources/implementation-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2016-06-13T14:17:00Z</cp:lastPrinted>
  <dcterms:created xsi:type="dcterms:W3CDTF">2018-01-30T19:34:00Z</dcterms:created>
  <dcterms:modified xsi:type="dcterms:W3CDTF">2018-02-02T14:41:00Z</dcterms:modified>
</cp:coreProperties>
</file>