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48"/>
        <w:gridCol w:w="1980"/>
        <w:gridCol w:w="4590"/>
        <w:gridCol w:w="5157"/>
      </w:tblGrid>
      <w:tr w:rsidR="00C17A60" w:rsidRPr="0061407B" w:rsidTr="00C17A60">
        <w:trPr>
          <w:gridAfter w:val="1"/>
          <w:wAfter w:w="5157" w:type="dxa"/>
        </w:trPr>
        <w:tc>
          <w:tcPr>
            <w:tcW w:w="4428" w:type="dxa"/>
            <w:gridSpan w:val="2"/>
            <w:tcBorders>
              <w:top w:val="nil"/>
              <w:left w:val="nil"/>
              <w:bottom w:val="nil"/>
              <w:right w:val="nil"/>
            </w:tcBorders>
          </w:tcPr>
          <w:p w:rsidR="00C17A60" w:rsidRPr="0061407B" w:rsidRDefault="00C17A60" w:rsidP="0093557A">
            <w:pPr>
              <w:rPr>
                <w:sz w:val="18"/>
                <w:szCs w:val="18"/>
                <w:lang w:val="fr-FR"/>
              </w:rPr>
            </w:pPr>
            <w:r w:rsidRPr="0061407B">
              <w:rPr>
                <w:b/>
                <w:sz w:val="24"/>
                <w:szCs w:val="24"/>
                <w:lang w:val="fr-FR"/>
              </w:rPr>
              <w:t>Numéro de l’accord de subvention</w:t>
            </w:r>
          </w:p>
        </w:tc>
        <w:tc>
          <w:tcPr>
            <w:tcW w:w="4590" w:type="dxa"/>
            <w:tcBorders>
              <w:top w:val="nil"/>
              <w:left w:val="nil"/>
              <w:bottom w:val="single" w:sz="4" w:space="0" w:color="auto"/>
              <w:right w:val="nil"/>
            </w:tcBorders>
          </w:tcPr>
          <w:p w:rsidR="00C17A60" w:rsidRPr="0061407B" w:rsidRDefault="00C17A60" w:rsidP="0093557A">
            <w:pPr>
              <w:rPr>
                <w:sz w:val="18"/>
                <w:szCs w:val="18"/>
                <w:lang w:val="fr-FR"/>
              </w:rPr>
            </w:pPr>
          </w:p>
        </w:tc>
      </w:tr>
      <w:tr w:rsidR="003E691E" w:rsidRPr="0061407B" w:rsidTr="00C17A60">
        <w:tc>
          <w:tcPr>
            <w:tcW w:w="2448" w:type="dxa"/>
            <w:tcBorders>
              <w:top w:val="nil"/>
              <w:left w:val="nil"/>
              <w:bottom w:val="nil"/>
              <w:right w:val="nil"/>
            </w:tcBorders>
          </w:tcPr>
          <w:p w:rsidR="003E691E" w:rsidRPr="0061407B" w:rsidRDefault="003E691E" w:rsidP="0093557A">
            <w:pPr>
              <w:rPr>
                <w:b/>
                <w:sz w:val="24"/>
                <w:szCs w:val="24"/>
                <w:lang w:val="fr-FR"/>
              </w:rPr>
            </w:pPr>
            <w:r w:rsidRPr="0061407B">
              <w:rPr>
                <w:b/>
                <w:sz w:val="24"/>
                <w:szCs w:val="24"/>
                <w:lang w:val="fr-FR"/>
              </w:rPr>
              <w:t>Date</w:t>
            </w:r>
          </w:p>
        </w:tc>
        <w:tc>
          <w:tcPr>
            <w:tcW w:w="6570" w:type="dxa"/>
            <w:gridSpan w:val="2"/>
            <w:tcBorders>
              <w:top w:val="nil"/>
              <w:left w:val="nil"/>
              <w:right w:val="nil"/>
            </w:tcBorders>
          </w:tcPr>
          <w:p w:rsidR="003E691E" w:rsidRPr="0061407B" w:rsidRDefault="003E691E" w:rsidP="0093557A">
            <w:pPr>
              <w:rPr>
                <w:sz w:val="18"/>
                <w:szCs w:val="18"/>
                <w:lang w:val="fr-FR"/>
              </w:rPr>
            </w:pPr>
          </w:p>
        </w:tc>
        <w:tc>
          <w:tcPr>
            <w:tcW w:w="5157" w:type="dxa"/>
            <w:tcBorders>
              <w:top w:val="nil"/>
              <w:left w:val="nil"/>
              <w:bottom w:val="nil"/>
              <w:right w:val="nil"/>
            </w:tcBorders>
          </w:tcPr>
          <w:p w:rsidR="003E691E" w:rsidRPr="0061407B" w:rsidRDefault="003E691E" w:rsidP="0093557A">
            <w:pPr>
              <w:rPr>
                <w:sz w:val="18"/>
                <w:szCs w:val="18"/>
                <w:lang w:val="fr-FR"/>
              </w:rPr>
            </w:pPr>
          </w:p>
        </w:tc>
      </w:tr>
    </w:tbl>
    <w:p w:rsidR="007E3D80" w:rsidRPr="0061407B" w:rsidRDefault="007E3D80" w:rsidP="007E3D80">
      <w:pPr>
        <w:rPr>
          <w:lang w:val="fr-FR"/>
        </w:rPr>
      </w:pPr>
    </w:p>
    <w:tbl>
      <w:tblPr>
        <w:tblStyle w:val="TableGrid"/>
        <w:tblW w:w="14662" w:type="dxa"/>
        <w:tblLayout w:type="fixed"/>
        <w:tblLook w:val="04A0"/>
      </w:tblPr>
      <w:tblGrid>
        <w:gridCol w:w="364"/>
        <w:gridCol w:w="1168"/>
        <w:gridCol w:w="1726"/>
        <w:gridCol w:w="1219"/>
        <w:gridCol w:w="828"/>
        <w:gridCol w:w="1279"/>
        <w:gridCol w:w="924"/>
        <w:gridCol w:w="1027"/>
        <w:gridCol w:w="1154"/>
        <w:gridCol w:w="2633"/>
        <w:gridCol w:w="1350"/>
        <w:gridCol w:w="990"/>
      </w:tblGrid>
      <w:tr w:rsidR="00B779BB" w:rsidRPr="0061407B" w:rsidTr="00C17A60">
        <w:tc>
          <w:tcPr>
            <w:tcW w:w="364" w:type="dxa"/>
            <w:vAlign w:val="center"/>
          </w:tcPr>
          <w:p w:rsidR="00D96F88" w:rsidRPr="0061407B" w:rsidRDefault="00D96F88" w:rsidP="00C17A60">
            <w:pPr>
              <w:jc w:val="center"/>
              <w:rPr>
                <w:b/>
                <w:sz w:val="20"/>
                <w:szCs w:val="20"/>
                <w:lang w:val="fr-FR"/>
              </w:rPr>
            </w:pPr>
            <w:r w:rsidRPr="0061407B">
              <w:rPr>
                <w:b/>
                <w:sz w:val="20"/>
                <w:szCs w:val="20"/>
                <w:lang w:val="fr-FR"/>
              </w:rPr>
              <w:t>SI #</w:t>
            </w:r>
          </w:p>
        </w:tc>
        <w:tc>
          <w:tcPr>
            <w:tcW w:w="1168" w:type="dxa"/>
            <w:vAlign w:val="center"/>
          </w:tcPr>
          <w:p w:rsidR="00D96F88" w:rsidRPr="0061407B" w:rsidRDefault="00D96F88" w:rsidP="00C17A60">
            <w:pPr>
              <w:jc w:val="center"/>
              <w:rPr>
                <w:b/>
                <w:sz w:val="20"/>
                <w:szCs w:val="20"/>
                <w:lang w:val="fr-FR"/>
              </w:rPr>
            </w:pPr>
            <w:r w:rsidRPr="0061407B">
              <w:rPr>
                <w:b/>
                <w:sz w:val="20"/>
                <w:szCs w:val="20"/>
                <w:lang w:val="fr-FR"/>
              </w:rPr>
              <w:t>Description</w:t>
            </w:r>
          </w:p>
        </w:tc>
        <w:tc>
          <w:tcPr>
            <w:tcW w:w="1726" w:type="dxa"/>
            <w:vAlign w:val="center"/>
          </w:tcPr>
          <w:p w:rsidR="00D96F88" w:rsidRPr="0061407B" w:rsidRDefault="005C621C" w:rsidP="00C17A60">
            <w:pPr>
              <w:jc w:val="center"/>
              <w:rPr>
                <w:b/>
                <w:sz w:val="20"/>
                <w:szCs w:val="20"/>
                <w:lang w:val="fr-FR"/>
              </w:rPr>
            </w:pPr>
            <w:r w:rsidRPr="0061407B">
              <w:rPr>
                <w:b/>
                <w:sz w:val="20"/>
                <w:szCs w:val="20"/>
                <w:lang w:val="fr-FR"/>
              </w:rPr>
              <w:t>Numéro de série, numéro de modèle ou autre numéro d'identification</w:t>
            </w:r>
          </w:p>
        </w:tc>
        <w:tc>
          <w:tcPr>
            <w:tcW w:w="1219" w:type="dxa"/>
            <w:vAlign w:val="center"/>
          </w:tcPr>
          <w:p w:rsidR="00D96F88" w:rsidRPr="0061407B" w:rsidRDefault="005C621C" w:rsidP="00C17A60">
            <w:pPr>
              <w:jc w:val="center"/>
              <w:rPr>
                <w:b/>
                <w:sz w:val="20"/>
                <w:szCs w:val="20"/>
                <w:lang w:val="fr-FR"/>
              </w:rPr>
            </w:pPr>
            <w:r w:rsidRPr="0061407B">
              <w:rPr>
                <w:b/>
                <w:sz w:val="20"/>
                <w:szCs w:val="20"/>
                <w:lang w:val="fr-FR"/>
              </w:rPr>
              <w:t>Propriétaire légal de l'actif</w:t>
            </w:r>
          </w:p>
        </w:tc>
        <w:tc>
          <w:tcPr>
            <w:tcW w:w="828" w:type="dxa"/>
            <w:vAlign w:val="center"/>
          </w:tcPr>
          <w:p w:rsidR="00D96F88" w:rsidRPr="0061407B" w:rsidRDefault="005C621C" w:rsidP="00C17A60">
            <w:pPr>
              <w:jc w:val="center"/>
              <w:rPr>
                <w:b/>
                <w:sz w:val="20"/>
                <w:szCs w:val="20"/>
                <w:lang w:val="fr-FR"/>
              </w:rPr>
            </w:pPr>
            <w:r w:rsidRPr="0061407B">
              <w:rPr>
                <w:b/>
                <w:sz w:val="20"/>
                <w:szCs w:val="20"/>
                <w:lang w:val="fr-FR"/>
              </w:rPr>
              <w:t>Date d'achat</w:t>
            </w:r>
          </w:p>
        </w:tc>
        <w:tc>
          <w:tcPr>
            <w:tcW w:w="1279" w:type="dxa"/>
            <w:vAlign w:val="center"/>
          </w:tcPr>
          <w:p w:rsidR="00D96F88" w:rsidRPr="0061407B" w:rsidRDefault="005C621C" w:rsidP="00C17A60">
            <w:pPr>
              <w:jc w:val="center"/>
              <w:rPr>
                <w:b/>
                <w:sz w:val="20"/>
                <w:szCs w:val="20"/>
                <w:lang w:val="fr-FR"/>
              </w:rPr>
            </w:pPr>
            <w:r w:rsidRPr="0061407B">
              <w:rPr>
                <w:b/>
                <w:sz w:val="20"/>
                <w:szCs w:val="20"/>
                <w:lang w:val="fr-FR"/>
              </w:rPr>
              <w:t>Coût d'acquisition unitaire</w:t>
            </w:r>
          </w:p>
        </w:tc>
        <w:tc>
          <w:tcPr>
            <w:tcW w:w="924" w:type="dxa"/>
            <w:vAlign w:val="center"/>
          </w:tcPr>
          <w:p w:rsidR="00D96F88" w:rsidRPr="0061407B" w:rsidRDefault="00D96F88" w:rsidP="00C17A60">
            <w:pPr>
              <w:jc w:val="center"/>
              <w:rPr>
                <w:b/>
                <w:sz w:val="20"/>
                <w:szCs w:val="20"/>
                <w:lang w:val="fr-FR"/>
              </w:rPr>
            </w:pPr>
            <w:r w:rsidRPr="0061407B">
              <w:rPr>
                <w:b/>
                <w:sz w:val="20"/>
                <w:szCs w:val="20"/>
                <w:lang w:val="fr-FR"/>
              </w:rPr>
              <w:t>Location</w:t>
            </w:r>
          </w:p>
        </w:tc>
        <w:tc>
          <w:tcPr>
            <w:tcW w:w="1027" w:type="dxa"/>
            <w:vAlign w:val="center"/>
          </w:tcPr>
          <w:p w:rsidR="00D96F88" w:rsidRPr="0061407B" w:rsidRDefault="00D96F88" w:rsidP="00C17A60">
            <w:pPr>
              <w:jc w:val="center"/>
              <w:rPr>
                <w:b/>
                <w:sz w:val="20"/>
                <w:szCs w:val="20"/>
                <w:lang w:val="fr-FR"/>
              </w:rPr>
            </w:pPr>
            <w:r w:rsidRPr="0061407B">
              <w:rPr>
                <w:b/>
                <w:sz w:val="20"/>
                <w:szCs w:val="20"/>
                <w:lang w:val="fr-FR"/>
              </w:rPr>
              <w:t>Condition</w:t>
            </w:r>
          </w:p>
        </w:tc>
        <w:tc>
          <w:tcPr>
            <w:tcW w:w="1154" w:type="dxa"/>
            <w:vAlign w:val="center"/>
          </w:tcPr>
          <w:p w:rsidR="00D96F88" w:rsidRPr="0061407B" w:rsidRDefault="001B3F1F" w:rsidP="00C17A60">
            <w:pPr>
              <w:jc w:val="center"/>
              <w:rPr>
                <w:b/>
                <w:sz w:val="20"/>
                <w:szCs w:val="20"/>
                <w:lang w:val="fr-FR"/>
              </w:rPr>
            </w:pPr>
            <w:r>
              <w:rPr>
                <w:b/>
                <w:sz w:val="20"/>
                <w:szCs w:val="20"/>
                <w:lang w:val="fr-FR"/>
              </w:rPr>
              <w:t>V</w:t>
            </w:r>
            <w:bookmarkStart w:id="0" w:name="_GoBack"/>
            <w:bookmarkEnd w:id="0"/>
            <w:r w:rsidR="005C621C" w:rsidRPr="0061407B">
              <w:rPr>
                <w:b/>
                <w:sz w:val="20"/>
                <w:szCs w:val="20"/>
                <w:lang w:val="fr-FR"/>
              </w:rPr>
              <w:t>aleur marchande brute</w:t>
            </w:r>
          </w:p>
        </w:tc>
        <w:tc>
          <w:tcPr>
            <w:tcW w:w="2633" w:type="dxa"/>
            <w:vAlign w:val="center"/>
          </w:tcPr>
          <w:p w:rsidR="00D96F88" w:rsidRPr="0061407B" w:rsidRDefault="005C621C" w:rsidP="00C17A60">
            <w:pPr>
              <w:jc w:val="center"/>
              <w:rPr>
                <w:b/>
                <w:sz w:val="20"/>
                <w:szCs w:val="20"/>
                <w:lang w:val="fr-FR"/>
              </w:rPr>
            </w:pPr>
            <w:r w:rsidRPr="0061407B">
              <w:rPr>
                <w:b/>
                <w:sz w:val="20"/>
                <w:szCs w:val="20"/>
                <w:lang w:val="fr-FR"/>
              </w:rPr>
              <w:t xml:space="preserve">Date </w:t>
            </w:r>
            <w:r w:rsidR="00B779BB" w:rsidRPr="0061407B">
              <w:rPr>
                <w:b/>
                <w:sz w:val="20"/>
                <w:szCs w:val="20"/>
                <w:lang w:val="fr-FR"/>
              </w:rPr>
              <w:t>Réforme</w:t>
            </w:r>
          </w:p>
        </w:tc>
        <w:tc>
          <w:tcPr>
            <w:tcW w:w="1350" w:type="dxa"/>
            <w:vAlign w:val="center"/>
          </w:tcPr>
          <w:p w:rsidR="00D96F88" w:rsidRPr="0061407B" w:rsidRDefault="005C621C" w:rsidP="00C17A60">
            <w:pPr>
              <w:jc w:val="center"/>
              <w:rPr>
                <w:b/>
                <w:sz w:val="20"/>
                <w:szCs w:val="20"/>
                <w:lang w:val="fr-FR"/>
              </w:rPr>
            </w:pPr>
            <w:r w:rsidRPr="0061407B">
              <w:rPr>
                <w:b/>
                <w:sz w:val="20"/>
                <w:szCs w:val="20"/>
                <w:lang w:val="fr-FR"/>
              </w:rPr>
              <w:t xml:space="preserve">Détails du plan </w:t>
            </w:r>
            <w:r w:rsidR="00B779BB" w:rsidRPr="0061407B">
              <w:rPr>
                <w:b/>
                <w:sz w:val="20"/>
                <w:szCs w:val="20"/>
                <w:lang w:val="fr-FR"/>
              </w:rPr>
              <w:t>de réforme</w:t>
            </w:r>
          </w:p>
        </w:tc>
        <w:tc>
          <w:tcPr>
            <w:tcW w:w="990" w:type="dxa"/>
            <w:vAlign w:val="center"/>
          </w:tcPr>
          <w:p w:rsidR="00D96F88" w:rsidRPr="0061407B" w:rsidRDefault="005C621C" w:rsidP="00C17A60">
            <w:pPr>
              <w:jc w:val="center"/>
              <w:rPr>
                <w:b/>
                <w:sz w:val="20"/>
                <w:szCs w:val="20"/>
                <w:lang w:val="fr-FR"/>
              </w:rPr>
            </w:pPr>
            <w:r w:rsidRPr="0061407B">
              <w:rPr>
                <w:b/>
                <w:sz w:val="20"/>
                <w:szCs w:val="20"/>
                <w:lang w:val="fr-FR"/>
              </w:rPr>
              <w:t>Prix de vente</w:t>
            </w: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r w:rsidR="00B779BB" w:rsidRPr="0061407B" w:rsidTr="0061407B">
        <w:tc>
          <w:tcPr>
            <w:tcW w:w="364" w:type="dxa"/>
          </w:tcPr>
          <w:p w:rsidR="00D96F88" w:rsidRPr="0061407B" w:rsidRDefault="00D96F88" w:rsidP="003E691E">
            <w:pPr>
              <w:spacing w:before="40" w:after="40"/>
              <w:rPr>
                <w:lang w:val="fr-FR"/>
              </w:rPr>
            </w:pPr>
          </w:p>
        </w:tc>
        <w:tc>
          <w:tcPr>
            <w:tcW w:w="1168" w:type="dxa"/>
          </w:tcPr>
          <w:p w:rsidR="00D96F88" w:rsidRPr="0061407B" w:rsidRDefault="00D96F88" w:rsidP="003E691E">
            <w:pPr>
              <w:spacing w:before="40" w:after="40"/>
              <w:rPr>
                <w:lang w:val="fr-FR"/>
              </w:rPr>
            </w:pPr>
          </w:p>
        </w:tc>
        <w:tc>
          <w:tcPr>
            <w:tcW w:w="1726" w:type="dxa"/>
          </w:tcPr>
          <w:p w:rsidR="00D96F88" w:rsidRPr="0061407B" w:rsidRDefault="00D96F88" w:rsidP="003E691E">
            <w:pPr>
              <w:spacing w:before="40" w:after="40"/>
              <w:rPr>
                <w:lang w:val="fr-FR"/>
              </w:rPr>
            </w:pPr>
          </w:p>
        </w:tc>
        <w:tc>
          <w:tcPr>
            <w:tcW w:w="1219" w:type="dxa"/>
          </w:tcPr>
          <w:p w:rsidR="00D96F88" w:rsidRPr="0061407B" w:rsidRDefault="00D96F88" w:rsidP="003E691E">
            <w:pPr>
              <w:spacing w:before="40" w:after="40"/>
              <w:rPr>
                <w:lang w:val="fr-FR"/>
              </w:rPr>
            </w:pPr>
          </w:p>
        </w:tc>
        <w:tc>
          <w:tcPr>
            <w:tcW w:w="828" w:type="dxa"/>
          </w:tcPr>
          <w:p w:rsidR="00D96F88" w:rsidRPr="0061407B" w:rsidRDefault="00D96F88" w:rsidP="003E691E">
            <w:pPr>
              <w:spacing w:before="40" w:after="40"/>
              <w:rPr>
                <w:lang w:val="fr-FR"/>
              </w:rPr>
            </w:pPr>
          </w:p>
        </w:tc>
        <w:tc>
          <w:tcPr>
            <w:tcW w:w="1279" w:type="dxa"/>
          </w:tcPr>
          <w:p w:rsidR="00D96F88" w:rsidRPr="0061407B" w:rsidRDefault="00D96F88" w:rsidP="003E691E">
            <w:pPr>
              <w:spacing w:before="40" w:after="40"/>
              <w:rPr>
                <w:lang w:val="fr-FR"/>
              </w:rPr>
            </w:pPr>
          </w:p>
        </w:tc>
        <w:tc>
          <w:tcPr>
            <w:tcW w:w="924" w:type="dxa"/>
          </w:tcPr>
          <w:p w:rsidR="00D96F88" w:rsidRPr="0061407B" w:rsidRDefault="00D96F88" w:rsidP="003E691E">
            <w:pPr>
              <w:spacing w:before="40" w:after="40"/>
              <w:rPr>
                <w:lang w:val="fr-FR"/>
              </w:rPr>
            </w:pPr>
          </w:p>
        </w:tc>
        <w:tc>
          <w:tcPr>
            <w:tcW w:w="1027" w:type="dxa"/>
          </w:tcPr>
          <w:p w:rsidR="00D96F88" w:rsidRPr="0061407B" w:rsidRDefault="00D96F88" w:rsidP="003E691E">
            <w:pPr>
              <w:spacing w:before="40" w:after="40"/>
              <w:rPr>
                <w:lang w:val="fr-FR"/>
              </w:rPr>
            </w:pPr>
          </w:p>
        </w:tc>
        <w:tc>
          <w:tcPr>
            <w:tcW w:w="1154" w:type="dxa"/>
          </w:tcPr>
          <w:p w:rsidR="00D96F88" w:rsidRPr="0061407B" w:rsidRDefault="00D96F88" w:rsidP="003E691E">
            <w:pPr>
              <w:spacing w:before="40" w:after="40"/>
              <w:rPr>
                <w:lang w:val="fr-FR"/>
              </w:rPr>
            </w:pPr>
          </w:p>
        </w:tc>
        <w:tc>
          <w:tcPr>
            <w:tcW w:w="2633" w:type="dxa"/>
          </w:tcPr>
          <w:p w:rsidR="00D96F88" w:rsidRPr="0061407B" w:rsidRDefault="00D96F88" w:rsidP="003E691E">
            <w:pPr>
              <w:spacing w:before="40" w:after="40"/>
              <w:rPr>
                <w:lang w:val="fr-FR"/>
              </w:rPr>
            </w:pPr>
          </w:p>
        </w:tc>
        <w:tc>
          <w:tcPr>
            <w:tcW w:w="1350" w:type="dxa"/>
          </w:tcPr>
          <w:p w:rsidR="00D96F88" w:rsidRPr="0061407B" w:rsidRDefault="00D96F88" w:rsidP="003E691E">
            <w:pPr>
              <w:spacing w:before="40" w:after="40"/>
              <w:rPr>
                <w:lang w:val="fr-FR"/>
              </w:rPr>
            </w:pPr>
          </w:p>
        </w:tc>
        <w:tc>
          <w:tcPr>
            <w:tcW w:w="990" w:type="dxa"/>
          </w:tcPr>
          <w:p w:rsidR="00D96F88" w:rsidRPr="0061407B" w:rsidRDefault="00D96F88" w:rsidP="003E691E">
            <w:pPr>
              <w:spacing w:before="40" w:after="40"/>
              <w:rPr>
                <w:lang w:val="fr-FR"/>
              </w:rPr>
            </w:pPr>
          </w:p>
        </w:tc>
      </w:tr>
    </w:tbl>
    <w:p w:rsidR="003E691E" w:rsidRPr="0061407B" w:rsidRDefault="005C621C" w:rsidP="007E3D80">
      <w:pPr>
        <w:rPr>
          <w:lang w:val="fr-FR"/>
        </w:rPr>
      </w:pPr>
      <w:r w:rsidRPr="0061407B">
        <w:rPr>
          <w:lang w:val="fr-FR"/>
        </w:rPr>
        <w:t>Préparé par</w:t>
      </w:r>
      <w:r w:rsidR="00F06155" w:rsidRPr="0061407B">
        <w:rPr>
          <w:lang w:val="fr-FR"/>
        </w:rPr>
        <w:t>:______________________________</w:t>
      </w:r>
      <w:r w:rsidR="00F06155" w:rsidRPr="0061407B">
        <w:rPr>
          <w:lang w:val="fr-FR"/>
        </w:rPr>
        <w:tab/>
      </w:r>
      <w:r w:rsidRPr="0061407B">
        <w:rPr>
          <w:lang w:val="fr-FR"/>
        </w:rPr>
        <w:t>Revu par</w:t>
      </w:r>
      <w:r w:rsidR="00F06155" w:rsidRPr="0061407B">
        <w:rPr>
          <w:lang w:val="fr-FR"/>
        </w:rPr>
        <w:t>:______________________________</w:t>
      </w:r>
      <w:r w:rsidR="00F06155" w:rsidRPr="0061407B">
        <w:rPr>
          <w:lang w:val="fr-FR"/>
        </w:rPr>
        <w:tab/>
      </w:r>
      <w:r w:rsidRPr="0061407B">
        <w:rPr>
          <w:lang w:val="fr-FR"/>
        </w:rPr>
        <w:t>Approuvé par</w:t>
      </w:r>
      <w:r w:rsidR="00F06155" w:rsidRPr="0061407B">
        <w:rPr>
          <w:lang w:val="fr-FR"/>
        </w:rPr>
        <w:t>:_______________________</w:t>
      </w:r>
    </w:p>
    <w:p w:rsidR="00F06155" w:rsidRPr="0061407B" w:rsidRDefault="00F06155" w:rsidP="007E3D80">
      <w:pPr>
        <w:rPr>
          <w:lang w:val="fr-FR"/>
        </w:rPr>
      </w:pPr>
    </w:p>
    <w:p w:rsidR="00F06155" w:rsidRPr="0061407B" w:rsidRDefault="00F06155" w:rsidP="007E3D80">
      <w:pPr>
        <w:rPr>
          <w:lang w:val="fr-FR"/>
        </w:rPr>
        <w:sectPr w:rsidR="00F06155" w:rsidRPr="0061407B" w:rsidSect="007E3D80">
          <w:headerReference w:type="default" r:id="rId6"/>
          <w:footerReference w:type="default" r:id="rId7"/>
          <w:pgSz w:w="16839" w:h="11907" w:orient="landscape" w:code="9"/>
          <w:pgMar w:top="1440" w:right="1440" w:bottom="1440" w:left="1440" w:header="720" w:footer="720" w:gutter="0"/>
          <w:cols w:space="720"/>
          <w:docGrid w:linePitch="360"/>
        </w:sectPr>
      </w:pPr>
    </w:p>
    <w:p w:rsidR="007E3D80" w:rsidRPr="0061407B" w:rsidRDefault="005C621C" w:rsidP="00C17A60">
      <w:pPr>
        <w:spacing w:after="0"/>
        <w:outlineLvl w:val="0"/>
        <w:rPr>
          <w:b/>
          <w:lang w:val="fr-FR"/>
        </w:rPr>
      </w:pPr>
      <w:r w:rsidRPr="0061407B">
        <w:rPr>
          <w:b/>
          <w:lang w:val="fr-FR"/>
        </w:rPr>
        <w:t>Code des règlements fédéraux Titre 22 - Relations étrangères</w:t>
      </w:r>
    </w:p>
    <w:p w:rsidR="007E3D80" w:rsidRPr="0061407B" w:rsidRDefault="007E3D80" w:rsidP="003E691E">
      <w:pPr>
        <w:spacing w:after="0"/>
        <w:rPr>
          <w:b/>
          <w:lang w:val="fr-FR"/>
        </w:rPr>
      </w:pPr>
      <w:r w:rsidRPr="0061407B">
        <w:rPr>
          <w:b/>
          <w:lang w:val="fr-FR"/>
        </w:rPr>
        <w:t xml:space="preserve">226.2 </w:t>
      </w:r>
      <w:r w:rsidR="005C621C" w:rsidRPr="0061407B">
        <w:rPr>
          <w:b/>
          <w:lang w:val="fr-FR"/>
        </w:rPr>
        <w:t>Définitions</w:t>
      </w:r>
      <w:r w:rsidRPr="0061407B">
        <w:rPr>
          <w:b/>
          <w:lang w:val="fr-FR"/>
        </w:rPr>
        <w:t>.</w:t>
      </w:r>
    </w:p>
    <w:p w:rsidR="007E3D80" w:rsidRPr="0061407B" w:rsidRDefault="00EC58DD" w:rsidP="003E691E">
      <w:pPr>
        <w:spacing w:after="0"/>
        <w:rPr>
          <w:sz w:val="20"/>
          <w:szCs w:val="20"/>
          <w:lang w:val="fr-FR"/>
        </w:rPr>
      </w:pPr>
      <w:r w:rsidRPr="0061407B">
        <w:rPr>
          <w:b/>
          <w:sz w:val="20"/>
          <w:szCs w:val="20"/>
          <w:lang w:val="fr-FR"/>
        </w:rPr>
        <w:t>Le terme «</w:t>
      </w:r>
      <w:r w:rsidR="0061407B" w:rsidRPr="0061407B">
        <w:rPr>
          <w:b/>
          <w:sz w:val="20"/>
          <w:szCs w:val="20"/>
          <w:lang w:val="fr-FR"/>
        </w:rPr>
        <w:t>équipement</w:t>
      </w:r>
      <w:r w:rsidRPr="0061407B">
        <w:rPr>
          <w:b/>
          <w:sz w:val="20"/>
          <w:szCs w:val="20"/>
          <w:lang w:val="fr-FR"/>
        </w:rPr>
        <w:t xml:space="preserve">» </w:t>
      </w:r>
      <w:r w:rsidRPr="0061407B">
        <w:rPr>
          <w:sz w:val="20"/>
          <w:szCs w:val="20"/>
          <w:lang w:val="fr-FR"/>
        </w:rPr>
        <w:t>désigne u</w:t>
      </w:r>
      <w:r w:rsidR="0061407B" w:rsidRPr="0061407B">
        <w:rPr>
          <w:sz w:val="20"/>
          <w:szCs w:val="20"/>
          <w:lang w:val="fr-FR"/>
        </w:rPr>
        <w:t>n bien immobilier, y compris un bien exonéré</w:t>
      </w:r>
      <w:r w:rsidRPr="0061407B">
        <w:rPr>
          <w:sz w:val="20"/>
          <w:szCs w:val="20"/>
          <w:lang w:val="fr-FR"/>
        </w:rPr>
        <w:t xml:space="preserve"> imputé directement </w:t>
      </w:r>
      <w:r w:rsidR="0061407B" w:rsidRPr="0061407B">
        <w:rPr>
          <w:sz w:val="20"/>
          <w:szCs w:val="20"/>
          <w:lang w:val="fr-FR"/>
        </w:rPr>
        <w:t xml:space="preserve">au </w:t>
      </w:r>
      <w:r w:rsidR="0061407B" w:rsidRPr="0061407B">
        <w:rPr>
          <w:b/>
          <w:sz w:val="20"/>
          <w:szCs w:val="20"/>
          <w:lang w:val="fr-FR"/>
        </w:rPr>
        <w:t>financement</w:t>
      </w:r>
      <w:r w:rsidRPr="0061407B">
        <w:rPr>
          <w:b/>
          <w:sz w:val="20"/>
          <w:szCs w:val="20"/>
          <w:lang w:val="fr-FR"/>
        </w:rPr>
        <w:t xml:space="preserve"> et dont </w:t>
      </w:r>
      <w:r w:rsidR="0061407B" w:rsidRPr="0061407B">
        <w:rPr>
          <w:b/>
          <w:sz w:val="20"/>
          <w:szCs w:val="20"/>
          <w:lang w:val="fr-FR"/>
        </w:rPr>
        <w:t xml:space="preserve">la durée de vie </w:t>
      </w:r>
      <w:r w:rsidRPr="0061407B">
        <w:rPr>
          <w:b/>
          <w:sz w:val="20"/>
          <w:szCs w:val="20"/>
          <w:lang w:val="fr-FR"/>
        </w:rPr>
        <w:t>est supérieure à un</w:t>
      </w:r>
      <w:r w:rsidRPr="0061407B">
        <w:rPr>
          <w:sz w:val="20"/>
          <w:szCs w:val="20"/>
          <w:lang w:val="fr-FR"/>
        </w:rPr>
        <w:t xml:space="preserve"> an et dont le coût d'acquisition est </w:t>
      </w:r>
      <w:r w:rsidR="0061407B" w:rsidRPr="0061407B">
        <w:rPr>
          <w:sz w:val="20"/>
          <w:szCs w:val="20"/>
          <w:lang w:val="fr-FR"/>
        </w:rPr>
        <w:t>égale ou supérieure à 5 000 dollars américains</w:t>
      </w:r>
      <w:r w:rsidRPr="0061407B">
        <w:rPr>
          <w:sz w:val="20"/>
          <w:szCs w:val="20"/>
          <w:lang w:val="fr-FR"/>
        </w:rPr>
        <w:t xml:space="preserve"> par unité. Cependant, </w:t>
      </w:r>
      <w:r w:rsidR="00B779BB" w:rsidRPr="0061407B">
        <w:rPr>
          <w:sz w:val="20"/>
          <w:szCs w:val="20"/>
          <w:lang w:val="fr-FR"/>
        </w:rPr>
        <w:t xml:space="preserve">selon </w:t>
      </w:r>
      <w:r w:rsidRPr="0061407B">
        <w:rPr>
          <w:sz w:val="20"/>
          <w:szCs w:val="20"/>
          <w:lang w:val="fr-FR"/>
        </w:rPr>
        <w:t xml:space="preserve">la politique du récipiendaire, des </w:t>
      </w:r>
      <w:r w:rsidR="0061407B" w:rsidRPr="0061407B">
        <w:rPr>
          <w:sz w:val="20"/>
          <w:szCs w:val="20"/>
          <w:lang w:val="fr-FR"/>
        </w:rPr>
        <w:t>seuils inférieurs</w:t>
      </w:r>
      <w:r w:rsidRPr="0061407B">
        <w:rPr>
          <w:sz w:val="20"/>
          <w:szCs w:val="20"/>
          <w:lang w:val="fr-FR"/>
        </w:rPr>
        <w:t xml:space="preserve"> peuvent être</w:t>
      </w:r>
      <w:r w:rsidR="00B779BB" w:rsidRPr="0061407B">
        <w:rPr>
          <w:sz w:val="20"/>
          <w:szCs w:val="20"/>
          <w:lang w:val="fr-FR"/>
        </w:rPr>
        <w:t xml:space="preserve"> </w:t>
      </w:r>
      <w:r w:rsidR="0061407B" w:rsidRPr="0061407B">
        <w:rPr>
          <w:sz w:val="20"/>
          <w:szCs w:val="20"/>
          <w:lang w:val="fr-FR"/>
        </w:rPr>
        <w:t>fixés</w:t>
      </w:r>
      <w:r w:rsidR="007E3D80" w:rsidRPr="0061407B">
        <w:rPr>
          <w:sz w:val="20"/>
          <w:szCs w:val="20"/>
          <w:lang w:val="fr-FR"/>
        </w:rPr>
        <w:t>.</w:t>
      </w:r>
    </w:p>
    <w:p w:rsidR="007E3D80" w:rsidRPr="0061407B" w:rsidRDefault="00B779BB" w:rsidP="003E691E">
      <w:pPr>
        <w:spacing w:after="0"/>
        <w:rPr>
          <w:sz w:val="20"/>
          <w:szCs w:val="20"/>
          <w:lang w:val="fr-FR"/>
        </w:rPr>
      </w:pPr>
      <w:r w:rsidRPr="0061407B">
        <w:rPr>
          <w:b/>
          <w:sz w:val="20"/>
          <w:szCs w:val="20"/>
          <w:lang w:val="fr-FR"/>
        </w:rPr>
        <w:t xml:space="preserve">Fournitures </w:t>
      </w:r>
      <w:r w:rsidR="00EC58DD" w:rsidRPr="0061407B">
        <w:rPr>
          <w:sz w:val="20"/>
          <w:szCs w:val="20"/>
          <w:lang w:val="fr-FR"/>
        </w:rPr>
        <w:t xml:space="preserve">signifie </w:t>
      </w:r>
      <w:proofErr w:type="gramStart"/>
      <w:r w:rsidR="00EC58DD" w:rsidRPr="0061407B">
        <w:rPr>
          <w:sz w:val="20"/>
          <w:szCs w:val="20"/>
          <w:lang w:val="fr-FR"/>
        </w:rPr>
        <w:t>tout ..</w:t>
      </w:r>
      <w:proofErr w:type="gramEnd"/>
      <w:r w:rsidR="00EC58DD" w:rsidRPr="0061407B">
        <w:rPr>
          <w:sz w:val="20"/>
          <w:szCs w:val="20"/>
          <w:lang w:val="fr-FR"/>
        </w:rPr>
        <w:t xml:space="preserve"> </w:t>
      </w:r>
      <w:proofErr w:type="gramStart"/>
      <w:r w:rsidR="0061407B" w:rsidRPr="0061407B">
        <w:rPr>
          <w:sz w:val="20"/>
          <w:szCs w:val="20"/>
          <w:lang w:val="fr-FR"/>
        </w:rPr>
        <w:t>bien</w:t>
      </w:r>
      <w:proofErr w:type="gramEnd"/>
      <w:r w:rsidR="0061407B" w:rsidRPr="0061407B">
        <w:rPr>
          <w:sz w:val="20"/>
          <w:szCs w:val="20"/>
          <w:lang w:val="fr-FR"/>
        </w:rPr>
        <w:t xml:space="preserve"> </w:t>
      </w:r>
      <w:r w:rsidR="00EC58DD" w:rsidRPr="0061407B">
        <w:rPr>
          <w:sz w:val="20"/>
          <w:szCs w:val="20"/>
          <w:lang w:val="fr-FR"/>
        </w:rPr>
        <w:t xml:space="preserve">à </w:t>
      </w:r>
      <w:r w:rsidRPr="0061407B">
        <w:rPr>
          <w:sz w:val="20"/>
          <w:szCs w:val="20"/>
          <w:lang w:val="fr-FR"/>
        </w:rPr>
        <w:t xml:space="preserve">l’exception des </w:t>
      </w:r>
      <w:r w:rsidR="0061407B" w:rsidRPr="0061407B">
        <w:rPr>
          <w:sz w:val="20"/>
          <w:szCs w:val="20"/>
          <w:lang w:val="fr-FR"/>
        </w:rPr>
        <w:t>équipements</w:t>
      </w:r>
      <w:r w:rsidR="00EC58DD" w:rsidRPr="0061407B">
        <w:rPr>
          <w:sz w:val="20"/>
          <w:szCs w:val="20"/>
          <w:lang w:val="fr-FR"/>
        </w:rPr>
        <w:t xml:space="preserve"> ...</w:t>
      </w:r>
      <w:r w:rsidR="007E3D80" w:rsidRPr="0061407B">
        <w:rPr>
          <w:sz w:val="20"/>
          <w:szCs w:val="20"/>
          <w:lang w:val="fr-FR"/>
        </w:rPr>
        <w:t xml:space="preserve"> </w:t>
      </w:r>
    </w:p>
    <w:p w:rsidR="007E3D80" w:rsidRPr="0061407B" w:rsidRDefault="007E3D80" w:rsidP="003E691E">
      <w:pPr>
        <w:spacing w:after="0"/>
        <w:rPr>
          <w:b/>
          <w:lang w:val="fr-FR"/>
        </w:rPr>
      </w:pPr>
      <w:r w:rsidRPr="0061407B">
        <w:rPr>
          <w:b/>
          <w:lang w:val="fr-FR"/>
        </w:rPr>
        <w:t>226.34</w:t>
      </w:r>
      <w:r w:rsidR="00986A7C" w:rsidRPr="0061407B">
        <w:rPr>
          <w:b/>
          <w:lang w:val="fr-FR"/>
        </w:rPr>
        <w:t xml:space="preserve">  </w:t>
      </w:r>
      <w:r w:rsidR="00B779BB" w:rsidRPr="0061407B">
        <w:rPr>
          <w:b/>
          <w:lang w:val="fr-FR"/>
        </w:rPr>
        <w:t>Equip</w:t>
      </w:r>
      <w:r w:rsidR="0061407B" w:rsidRPr="0061407B">
        <w:rPr>
          <w:b/>
          <w:lang w:val="fr-FR"/>
        </w:rPr>
        <w:t>e</w:t>
      </w:r>
      <w:r w:rsidR="00B779BB" w:rsidRPr="0061407B">
        <w:rPr>
          <w:b/>
          <w:lang w:val="fr-FR"/>
        </w:rPr>
        <w:t>ment</w:t>
      </w:r>
      <w:r w:rsidR="0061407B" w:rsidRPr="0061407B">
        <w:rPr>
          <w:b/>
          <w:lang w:val="fr-FR"/>
        </w:rPr>
        <w:t>s</w:t>
      </w:r>
    </w:p>
    <w:p w:rsidR="007E3D80" w:rsidRPr="0061407B" w:rsidRDefault="007E3D80" w:rsidP="003E691E">
      <w:pPr>
        <w:spacing w:after="0"/>
        <w:rPr>
          <w:sz w:val="20"/>
          <w:szCs w:val="20"/>
          <w:lang w:val="fr-FR"/>
        </w:rPr>
      </w:pPr>
      <w:r w:rsidRPr="0061407B">
        <w:rPr>
          <w:sz w:val="20"/>
          <w:szCs w:val="20"/>
          <w:lang w:val="fr-FR"/>
        </w:rPr>
        <w:t xml:space="preserve">(a) </w:t>
      </w:r>
      <w:r w:rsidR="00EC58DD" w:rsidRPr="0061407B">
        <w:rPr>
          <w:sz w:val="20"/>
          <w:szCs w:val="20"/>
          <w:lang w:val="fr-FR"/>
        </w:rPr>
        <w:t xml:space="preserve">À moins que l'accord </w:t>
      </w:r>
      <w:r w:rsidR="00B779BB" w:rsidRPr="0061407B">
        <w:rPr>
          <w:sz w:val="20"/>
          <w:szCs w:val="20"/>
          <w:lang w:val="fr-FR"/>
        </w:rPr>
        <w:t>ne le stipule</w:t>
      </w:r>
      <w:r w:rsidR="00EC58DD" w:rsidRPr="0061407B">
        <w:rPr>
          <w:sz w:val="20"/>
          <w:szCs w:val="20"/>
          <w:lang w:val="fr-FR"/>
        </w:rPr>
        <w:t xml:space="preserve"> autrement, la propriété </w:t>
      </w:r>
      <w:r w:rsidR="0061407B" w:rsidRPr="0061407B">
        <w:rPr>
          <w:sz w:val="20"/>
          <w:szCs w:val="20"/>
          <w:lang w:val="fr-FR"/>
        </w:rPr>
        <w:t>des équipements</w:t>
      </w:r>
      <w:r w:rsidR="00EC58DD" w:rsidRPr="0061407B">
        <w:rPr>
          <w:sz w:val="20"/>
          <w:szCs w:val="20"/>
          <w:lang w:val="fr-FR"/>
        </w:rPr>
        <w:t xml:space="preserve"> acquis par un récipiendaire avec des fonds fédéraux lui est dévolue, sous réserve </w:t>
      </w:r>
      <w:r w:rsidR="00B779BB" w:rsidRPr="0061407B">
        <w:rPr>
          <w:sz w:val="20"/>
          <w:szCs w:val="20"/>
          <w:lang w:val="fr-FR"/>
        </w:rPr>
        <w:t>de l’</w:t>
      </w:r>
      <w:r w:rsidR="0061407B" w:rsidRPr="0061407B">
        <w:rPr>
          <w:sz w:val="20"/>
          <w:szCs w:val="20"/>
          <w:lang w:val="fr-FR"/>
        </w:rPr>
        <w:t>application</w:t>
      </w:r>
      <w:r w:rsidR="00B779BB" w:rsidRPr="0061407B">
        <w:rPr>
          <w:sz w:val="20"/>
          <w:szCs w:val="20"/>
          <w:lang w:val="fr-FR"/>
        </w:rPr>
        <w:t xml:space="preserve"> </w:t>
      </w:r>
      <w:r w:rsidR="00EC58DD" w:rsidRPr="0061407B">
        <w:rPr>
          <w:sz w:val="20"/>
          <w:szCs w:val="20"/>
          <w:lang w:val="fr-FR"/>
        </w:rPr>
        <w:t xml:space="preserve">des conditions </w:t>
      </w:r>
      <w:r w:rsidR="00B779BB" w:rsidRPr="0061407B">
        <w:rPr>
          <w:sz w:val="20"/>
          <w:szCs w:val="20"/>
          <w:lang w:val="fr-FR"/>
        </w:rPr>
        <w:t>indiqu</w:t>
      </w:r>
      <w:r w:rsidR="0061407B" w:rsidRPr="0061407B">
        <w:rPr>
          <w:sz w:val="20"/>
          <w:szCs w:val="20"/>
          <w:lang w:val="fr-FR"/>
        </w:rPr>
        <w:t>é</w:t>
      </w:r>
      <w:r w:rsidR="00B779BB" w:rsidRPr="0061407B">
        <w:rPr>
          <w:sz w:val="20"/>
          <w:szCs w:val="20"/>
          <w:lang w:val="fr-FR"/>
        </w:rPr>
        <w:t xml:space="preserve">es dans le </w:t>
      </w:r>
      <w:r w:rsidR="00EC58DD" w:rsidRPr="0061407B">
        <w:rPr>
          <w:sz w:val="20"/>
          <w:szCs w:val="20"/>
          <w:lang w:val="fr-FR"/>
        </w:rPr>
        <w:t>présent</w:t>
      </w:r>
      <w:r w:rsidR="00B779BB" w:rsidRPr="0061407B">
        <w:rPr>
          <w:sz w:val="20"/>
          <w:szCs w:val="20"/>
          <w:lang w:val="fr-FR"/>
        </w:rPr>
        <w:t>.</w:t>
      </w:r>
    </w:p>
    <w:p w:rsidR="007E3D80" w:rsidRPr="0061407B" w:rsidRDefault="007E3D80" w:rsidP="003E691E">
      <w:pPr>
        <w:spacing w:after="0"/>
        <w:rPr>
          <w:sz w:val="20"/>
          <w:szCs w:val="20"/>
          <w:lang w:val="fr-FR"/>
        </w:rPr>
      </w:pPr>
      <w:r w:rsidRPr="0061407B">
        <w:rPr>
          <w:sz w:val="20"/>
          <w:szCs w:val="20"/>
          <w:lang w:val="fr-FR"/>
        </w:rPr>
        <w:t xml:space="preserve">(c) </w:t>
      </w:r>
      <w:r w:rsidR="00EC58DD" w:rsidRPr="0061407B">
        <w:rPr>
          <w:sz w:val="20"/>
          <w:szCs w:val="20"/>
          <w:lang w:val="fr-FR"/>
        </w:rPr>
        <w:t xml:space="preserve">Le récipiendaire doit </w:t>
      </w:r>
      <w:r w:rsidR="00B779BB" w:rsidRPr="0061407B">
        <w:rPr>
          <w:sz w:val="20"/>
          <w:szCs w:val="20"/>
          <w:lang w:val="fr-FR"/>
        </w:rPr>
        <w:t>utiliser le</w:t>
      </w:r>
      <w:r w:rsidR="00EC58DD" w:rsidRPr="0061407B">
        <w:rPr>
          <w:sz w:val="20"/>
          <w:szCs w:val="20"/>
          <w:lang w:val="fr-FR"/>
        </w:rPr>
        <w:t xml:space="preserve"> matériel dans le</w:t>
      </w:r>
      <w:r w:rsidR="00B779BB" w:rsidRPr="0061407B">
        <w:rPr>
          <w:sz w:val="20"/>
          <w:szCs w:val="20"/>
          <w:lang w:val="fr-FR"/>
        </w:rPr>
        <w:t xml:space="preserve"> cadre</w:t>
      </w:r>
      <w:r w:rsidR="00EC58DD" w:rsidRPr="0061407B">
        <w:rPr>
          <w:sz w:val="20"/>
          <w:szCs w:val="20"/>
          <w:lang w:val="fr-FR"/>
        </w:rPr>
        <w:t xml:space="preserve"> projet ou programme pour lequel il a été acquis aussi longtemps que nécessaire, que le projet ou le programme continue d'être </w:t>
      </w:r>
      <w:r w:rsidR="0061407B" w:rsidRPr="0061407B">
        <w:rPr>
          <w:sz w:val="20"/>
          <w:szCs w:val="20"/>
          <w:lang w:val="fr-FR"/>
        </w:rPr>
        <w:t>financé</w:t>
      </w:r>
      <w:r w:rsidR="00B779BB" w:rsidRPr="0061407B">
        <w:rPr>
          <w:sz w:val="20"/>
          <w:szCs w:val="20"/>
          <w:lang w:val="fr-FR"/>
        </w:rPr>
        <w:t xml:space="preserve"> </w:t>
      </w:r>
      <w:r w:rsidR="00EC58DD" w:rsidRPr="0061407B">
        <w:rPr>
          <w:sz w:val="20"/>
          <w:szCs w:val="20"/>
          <w:lang w:val="fr-FR"/>
        </w:rPr>
        <w:t xml:space="preserve">par des </w:t>
      </w:r>
      <w:r w:rsidR="00B779BB" w:rsidRPr="0061407B">
        <w:rPr>
          <w:sz w:val="20"/>
          <w:szCs w:val="20"/>
          <w:lang w:val="fr-FR"/>
        </w:rPr>
        <w:t xml:space="preserve">financements </w:t>
      </w:r>
      <w:r w:rsidR="00EC58DD" w:rsidRPr="0061407B">
        <w:rPr>
          <w:sz w:val="20"/>
          <w:szCs w:val="20"/>
          <w:lang w:val="fr-FR"/>
        </w:rPr>
        <w:t>fédéraux</w:t>
      </w:r>
      <w:r w:rsidR="00B779BB" w:rsidRPr="0061407B">
        <w:rPr>
          <w:sz w:val="20"/>
          <w:szCs w:val="20"/>
          <w:lang w:val="fr-FR"/>
        </w:rPr>
        <w:t xml:space="preserve"> ou non</w:t>
      </w:r>
      <w:r w:rsidR="00EC58DD" w:rsidRPr="0061407B">
        <w:rPr>
          <w:sz w:val="20"/>
          <w:szCs w:val="20"/>
          <w:lang w:val="fr-FR"/>
        </w:rPr>
        <w:t xml:space="preserve"> et ne doit pas </w:t>
      </w:r>
      <w:r w:rsidR="0061407B" w:rsidRPr="0061407B">
        <w:rPr>
          <w:sz w:val="20"/>
          <w:szCs w:val="20"/>
          <w:lang w:val="fr-FR"/>
        </w:rPr>
        <w:t>réaffecter</w:t>
      </w:r>
      <w:r w:rsidR="00B64A02" w:rsidRPr="0061407B">
        <w:rPr>
          <w:sz w:val="20"/>
          <w:szCs w:val="20"/>
          <w:lang w:val="fr-FR"/>
        </w:rPr>
        <w:t xml:space="preserve"> les biens</w:t>
      </w:r>
      <w:r w:rsidR="00EC58DD" w:rsidRPr="0061407B">
        <w:rPr>
          <w:sz w:val="20"/>
          <w:szCs w:val="20"/>
          <w:lang w:val="fr-FR"/>
        </w:rPr>
        <w:t xml:space="preserve"> sans l'approbation de l'USAID. Lorsqu</w:t>
      </w:r>
      <w:r w:rsidR="0061407B">
        <w:rPr>
          <w:sz w:val="20"/>
          <w:szCs w:val="20"/>
          <w:lang w:val="fr-FR"/>
        </w:rPr>
        <w:t>e les équipements ne sont</w:t>
      </w:r>
      <w:r w:rsidR="00EC58DD" w:rsidRPr="0061407B">
        <w:rPr>
          <w:sz w:val="20"/>
          <w:szCs w:val="20"/>
          <w:lang w:val="fr-FR"/>
        </w:rPr>
        <w:t xml:space="preserve"> plus nécessaire</w:t>
      </w:r>
      <w:r w:rsidR="0061407B">
        <w:rPr>
          <w:sz w:val="20"/>
          <w:szCs w:val="20"/>
          <w:lang w:val="fr-FR"/>
        </w:rPr>
        <w:t>s</w:t>
      </w:r>
      <w:r w:rsidR="00EC58DD" w:rsidRPr="0061407B">
        <w:rPr>
          <w:sz w:val="20"/>
          <w:szCs w:val="20"/>
          <w:lang w:val="fr-FR"/>
        </w:rPr>
        <w:t xml:space="preserve"> pour le proj</w:t>
      </w:r>
      <w:r w:rsidR="0061407B" w:rsidRPr="0061407B">
        <w:rPr>
          <w:sz w:val="20"/>
          <w:szCs w:val="20"/>
          <w:lang w:val="fr-FR"/>
        </w:rPr>
        <w:t xml:space="preserve">et ou le programme </w:t>
      </w:r>
      <w:r w:rsidR="0061407B">
        <w:rPr>
          <w:sz w:val="20"/>
          <w:szCs w:val="20"/>
          <w:lang w:val="fr-FR"/>
        </w:rPr>
        <w:t>initial</w:t>
      </w:r>
      <w:r w:rsidR="0061407B" w:rsidRPr="0061407B">
        <w:rPr>
          <w:sz w:val="20"/>
          <w:szCs w:val="20"/>
          <w:lang w:val="fr-FR"/>
        </w:rPr>
        <w:t xml:space="preserve">, l’organisme </w:t>
      </w:r>
      <w:r w:rsidR="00EC58DD" w:rsidRPr="0061407B">
        <w:rPr>
          <w:sz w:val="20"/>
          <w:szCs w:val="20"/>
          <w:lang w:val="fr-FR"/>
        </w:rPr>
        <w:t xml:space="preserve">récipiendaire doit </w:t>
      </w:r>
      <w:r w:rsidR="0061407B">
        <w:rPr>
          <w:sz w:val="20"/>
          <w:szCs w:val="20"/>
          <w:lang w:val="fr-FR"/>
        </w:rPr>
        <w:t xml:space="preserve">les </w:t>
      </w:r>
      <w:r w:rsidR="00EC58DD" w:rsidRPr="0061407B">
        <w:rPr>
          <w:sz w:val="20"/>
          <w:szCs w:val="20"/>
          <w:lang w:val="fr-FR"/>
        </w:rPr>
        <w:t>utiliser dans le cadre de ses autres activités parrainées par le gouvernement fédéral, selon l'ordre de priorité suivant:</w:t>
      </w:r>
    </w:p>
    <w:p w:rsidR="007E3D80" w:rsidRPr="0061407B" w:rsidRDefault="007E3D80" w:rsidP="00986A7C">
      <w:pPr>
        <w:spacing w:after="0"/>
        <w:ind w:left="360"/>
        <w:rPr>
          <w:sz w:val="20"/>
          <w:szCs w:val="20"/>
          <w:lang w:val="fr-FR"/>
        </w:rPr>
      </w:pPr>
      <w:r w:rsidRPr="0061407B">
        <w:rPr>
          <w:sz w:val="20"/>
          <w:szCs w:val="20"/>
          <w:lang w:val="fr-FR"/>
        </w:rPr>
        <w:t xml:space="preserve">(1) </w:t>
      </w:r>
      <w:r w:rsidR="00EC58DD" w:rsidRPr="0061407B">
        <w:rPr>
          <w:sz w:val="20"/>
          <w:szCs w:val="20"/>
          <w:lang w:val="fr-FR"/>
        </w:rPr>
        <w:t>Activités parrainées par l'USAID, puis</w:t>
      </w:r>
    </w:p>
    <w:p w:rsidR="007E3D80" w:rsidRPr="0061407B" w:rsidRDefault="007E3D80" w:rsidP="00986A7C">
      <w:pPr>
        <w:spacing w:after="0"/>
        <w:ind w:left="360"/>
        <w:rPr>
          <w:sz w:val="20"/>
          <w:szCs w:val="20"/>
          <w:lang w:val="fr-FR"/>
        </w:rPr>
      </w:pPr>
      <w:r w:rsidRPr="0061407B">
        <w:rPr>
          <w:sz w:val="20"/>
          <w:szCs w:val="20"/>
          <w:lang w:val="fr-FR"/>
        </w:rPr>
        <w:t xml:space="preserve">(2) </w:t>
      </w:r>
      <w:r w:rsidR="00EC58DD" w:rsidRPr="0061407B">
        <w:rPr>
          <w:sz w:val="20"/>
          <w:szCs w:val="20"/>
          <w:lang w:val="fr-FR"/>
        </w:rPr>
        <w:t>Activités parrainées par d'autres agences fédérales</w:t>
      </w:r>
      <w:r w:rsidRPr="0061407B">
        <w:rPr>
          <w:sz w:val="20"/>
          <w:szCs w:val="20"/>
          <w:lang w:val="fr-FR"/>
        </w:rPr>
        <w:t>.</w:t>
      </w:r>
    </w:p>
    <w:p w:rsidR="007E3D80" w:rsidRPr="0061407B" w:rsidRDefault="007E3D80" w:rsidP="003E691E">
      <w:pPr>
        <w:spacing w:after="0"/>
        <w:rPr>
          <w:sz w:val="20"/>
          <w:szCs w:val="20"/>
          <w:lang w:val="fr-FR"/>
        </w:rPr>
      </w:pPr>
      <w:r w:rsidRPr="0061407B">
        <w:rPr>
          <w:sz w:val="20"/>
          <w:szCs w:val="20"/>
          <w:lang w:val="fr-FR"/>
        </w:rPr>
        <w:t xml:space="preserve">(f) </w:t>
      </w:r>
      <w:r w:rsidR="00EC58DD" w:rsidRPr="0061407B">
        <w:rPr>
          <w:sz w:val="20"/>
          <w:szCs w:val="20"/>
          <w:lang w:val="fr-FR"/>
        </w:rPr>
        <w:t xml:space="preserve">Les normes de gestion des biens du </w:t>
      </w:r>
      <w:r w:rsidR="00436B99" w:rsidRPr="0061407B">
        <w:rPr>
          <w:sz w:val="20"/>
          <w:szCs w:val="20"/>
          <w:lang w:val="fr-FR"/>
        </w:rPr>
        <w:t>récipiendaire</w:t>
      </w:r>
      <w:r w:rsidR="0061407B">
        <w:rPr>
          <w:sz w:val="20"/>
          <w:szCs w:val="20"/>
          <w:lang w:val="fr-FR"/>
        </w:rPr>
        <w:t xml:space="preserve"> pour les équipements</w:t>
      </w:r>
      <w:r w:rsidR="00EC58DD" w:rsidRPr="0061407B">
        <w:rPr>
          <w:sz w:val="20"/>
          <w:szCs w:val="20"/>
          <w:lang w:val="fr-FR"/>
        </w:rPr>
        <w:t xml:space="preserve"> acquis avec des fonds fédéraux et </w:t>
      </w:r>
      <w:r w:rsidR="0061407B">
        <w:rPr>
          <w:sz w:val="20"/>
          <w:szCs w:val="20"/>
          <w:lang w:val="fr-FR"/>
        </w:rPr>
        <w:t>ceux</w:t>
      </w:r>
      <w:r w:rsidR="00EC58DD" w:rsidRPr="0061407B">
        <w:rPr>
          <w:sz w:val="20"/>
          <w:szCs w:val="20"/>
          <w:lang w:val="fr-FR"/>
        </w:rPr>
        <w:t xml:space="preserve"> appartenant au gouvernement fédéral doivent compre</w:t>
      </w:r>
      <w:r w:rsidR="00436B99" w:rsidRPr="0061407B">
        <w:rPr>
          <w:sz w:val="20"/>
          <w:szCs w:val="20"/>
          <w:lang w:val="fr-FR"/>
        </w:rPr>
        <w:t>ndre tous les éléments suivants :</w:t>
      </w:r>
    </w:p>
    <w:p w:rsidR="007E3D80" w:rsidRPr="0061407B" w:rsidRDefault="007E3D80" w:rsidP="00986A7C">
      <w:pPr>
        <w:spacing w:after="0"/>
        <w:ind w:left="360"/>
        <w:rPr>
          <w:sz w:val="20"/>
          <w:szCs w:val="20"/>
          <w:lang w:val="fr-FR"/>
        </w:rPr>
      </w:pPr>
      <w:r w:rsidRPr="0061407B">
        <w:rPr>
          <w:sz w:val="20"/>
          <w:szCs w:val="20"/>
          <w:lang w:val="fr-FR"/>
        </w:rPr>
        <w:t xml:space="preserve">(1) </w:t>
      </w:r>
      <w:r w:rsidR="00436B99" w:rsidRPr="0061407B">
        <w:rPr>
          <w:sz w:val="20"/>
          <w:szCs w:val="20"/>
          <w:lang w:val="fr-FR"/>
        </w:rPr>
        <w:t xml:space="preserve">Les dossiers </w:t>
      </w:r>
      <w:r w:rsidR="00B64A02" w:rsidRPr="0061407B">
        <w:rPr>
          <w:sz w:val="20"/>
          <w:szCs w:val="20"/>
          <w:lang w:val="fr-FR"/>
        </w:rPr>
        <w:t xml:space="preserve">des </w:t>
      </w:r>
      <w:r w:rsidR="0061407B" w:rsidRPr="0061407B">
        <w:rPr>
          <w:sz w:val="20"/>
          <w:szCs w:val="20"/>
          <w:lang w:val="fr-FR"/>
        </w:rPr>
        <w:t>équipements</w:t>
      </w:r>
      <w:r w:rsidR="00436B99" w:rsidRPr="0061407B">
        <w:rPr>
          <w:sz w:val="20"/>
          <w:szCs w:val="20"/>
          <w:lang w:val="fr-FR"/>
        </w:rPr>
        <w:t xml:space="preserve"> doivent être conservés avec précision et inclure les informations suivantes</w:t>
      </w:r>
      <w:r w:rsidRPr="0061407B">
        <w:rPr>
          <w:sz w:val="20"/>
          <w:szCs w:val="20"/>
          <w:lang w:val="fr-FR"/>
        </w:rPr>
        <w:t>.</w:t>
      </w:r>
    </w:p>
    <w:p w:rsidR="00436B99" w:rsidRPr="0061407B" w:rsidRDefault="003E691E" w:rsidP="00436B99">
      <w:pPr>
        <w:spacing w:after="0"/>
        <w:ind w:left="720"/>
        <w:contextualSpacing/>
        <w:rPr>
          <w:sz w:val="20"/>
          <w:szCs w:val="20"/>
          <w:lang w:val="fr-FR"/>
        </w:rPr>
      </w:pPr>
      <w:r w:rsidRPr="0061407B">
        <w:rPr>
          <w:sz w:val="20"/>
          <w:szCs w:val="20"/>
          <w:lang w:val="fr-FR"/>
        </w:rPr>
        <w:t>(</w:t>
      </w:r>
      <w:r w:rsidR="007E3D80" w:rsidRPr="0061407B">
        <w:rPr>
          <w:sz w:val="20"/>
          <w:szCs w:val="20"/>
          <w:lang w:val="fr-FR"/>
        </w:rPr>
        <w:t xml:space="preserve">i) </w:t>
      </w:r>
      <w:r w:rsidR="00436B99" w:rsidRPr="0061407B">
        <w:rPr>
          <w:sz w:val="20"/>
          <w:szCs w:val="20"/>
          <w:lang w:val="fr-FR"/>
        </w:rPr>
        <w:t xml:space="preserve">Une description </w:t>
      </w:r>
      <w:r w:rsidR="00B64A02" w:rsidRPr="0061407B">
        <w:rPr>
          <w:sz w:val="20"/>
          <w:szCs w:val="20"/>
          <w:lang w:val="fr-FR"/>
        </w:rPr>
        <w:t>de l’</w:t>
      </w:r>
      <w:r w:rsidR="0061407B" w:rsidRPr="0061407B">
        <w:rPr>
          <w:sz w:val="20"/>
          <w:szCs w:val="20"/>
          <w:lang w:val="fr-FR"/>
        </w:rPr>
        <w:t>équipement</w:t>
      </w:r>
      <w:r w:rsidR="00436B99" w:rsidRPr="0061407B">
        <w:rPr>
          <w:sz w:val="20"/>
          <w:szCs w:val="20"/>
          <w:lang w:val="fr-FR"/>
        </w:rPr>
        <w:t>.</w:t>
      </w:r>
    </w:p>
    <w:p w:rsidR="00436B99" w:rsidRPr="0061407B" w:rsidRDefault="00436B99" w:rsidP="00436B99">
      <w:pPr>
        <w:spacing w:after="0"/>
        <w:ind w:left="720"/>
        <w:contextualSpacing/>
        <w:rPr>
          <w:sz w:val="20"/>
          <w:szCs w:val="20"/>
          <w:lang w:val="fr-FR"/>
        </w:rPr>
      </w:pPr>
      <w:r w:rsidRPr="0061407B">
        <w:rPr>
          <w:sz w:val="20"/>
          <w:szCs w:val="20"/>
          <w:lang w:val="fr-FR"/>
        </w:rPr>
        <w:t>(ii) Numéro de série du fabricant, numéro de modèle, numéro de stock fédéral, numéro de stock national ou autre numéro d'identification.</w:t>
      </w:r>
    </w:p>
    <w:p w:rsidR="00436B99" w:rsidRPr="0061407B" w:rsidRDefault="00436B99" w:rsidP="00436B99">
      <w:pPr>
        <w:spacing w:after="0"/>
        <w:ind w:left="720"/>
        <w:contextualSpacing/>
        <w:rPr>
          <w:sz w:val="20"/>
          <w:szCs w:val="20"/>
          <w:lang w:val="fr-FR"/>
        </w:rPr>
      </w:pPr>
      <w:r w:rsidRPr="0061407B">
        <w:rPr>
          <w:sz w:val="20"/>
          <w:szCs w:val="20"/>
          <w:lang w:val="fr-FR"/>
        </w:rPr>
        <w:t xml:space="preserve">(iii) Source </w:t>
      </w:r>
      <w:r w:rsidR="00B64A02" w:rsidRPr="0061407B">
        <w:rPr>
          <w:sz w:val="20"/>
          <w:szCs w:val="20"/>
          <w:lang w:val="fr-FR"/>
        </w:rPr>
        <w:t>de l’</w:t>
      </w:r>
      <w:r w:rsidR="0061407B" w:rsidRPr="0061407B">
        <w:rPr>
          <w:sz w:val="20"/>
          <w:szCs w:val="20"/>
          <w:lang w:val="fr-FR"/>
        </w:rPr>
        <w:t>équipement</w:t>
      </w:r>
      <w:r w:rsidRPr="0061407B">
        <w:rPr>
          <w:sz w:val="20"/>
          <w:szCs w:val="20"/>
          <w:lang w:val="fr-FR"/>
        </w:rPr>
        <w:t>, y compris le numéro d'attribution.</w:t>
      </w:r>
    </w:p>
    <w:p w:rsidR="00436B99" w:rsidRPr="0061407B" w:rsidRDefault="00436B99" w:rsidP="00436B99">
      <w:pPr>
        <w:spacing w:after="0"/>
        <w:ind w:left="720"/>
        <w:contextualSpacing/>
        <w:rPr>
          <w:sz w:val="20"/>
          <w:szCs w:val="20"/>
          <w:lang w:val="fr-FR"/>
        </w:rPr>
      </w:pPr>
      <w:r w:rsidRPr="0061407B">
        <w:rPr>
          <w:sz w:val="20"/>
          <w:szCs w:val="20"/>
          <w:lang w:val="fr-FR"/>
        </w:rPr>
        <w:t>(iv) Le ti</w:t>
      </w:r>
      <w:r w:rsidR="0061407B" w:rsidRPr="0061407B">
        <w:rPr>
          <w:sz w:val="20"/>
          <w:szCs w:val="20"/>
          <w:lang w:val="fr-FR"/>
        </w:rPr>
        <w:t xml:space="preserve">tre est-il destiné à l’organisme </w:t>
      </w:r>
      <w:r w:rsidRPr="0061407B">
        <w:rPr>
          <w:sz w:val="20"/>
          <w:szCs w:val="20"/>
          <w:lang w:val="fr-FR"/>
        </w:rPr>
        <w:t xml:space="preserve">récipiendaire, au gouvernement fédéral ou à une autre entité </w:t>
      </w:r>
      <w:r w:rsidR="0061407B" w:rsidRPr="0061407B">
        <w:rPr>
          <w:sz w:val="20"/>
          <w:szCs w:val="20"/>
          <w:lang w:val="fr-FR"/>
        </w:rPr>
        <w:t>désignée</w:t>
      </w:r>
      <w:r w:rsidRPr="0061407B">
        <w:rPr>
          <w:sz w:val="20"/>
          <w:szCs w:val="20"/>
          <w:lang w:val="fr-FR"/>
        </w:rPr>
        <w:t>?</w:t>
      </w:r>
    </w:p>
    <w:p w:rsidR="00436B99" w:rsidRPr="0061407B" w:rsidRDefault="00436B99" w:rsidP="00436B99">
      <w:pPr>
        <w:spacing w:after="0"/>
        <w:ind w:left="720"/>
        <w:contextualSpacing/>
        <w:rPr>
          <w:sz w:val="20"/>
          <w:szCs w:val="20"/>
          <w:lang w:val="fr-FR"/>
        </w:rPr>
      </w:pPr>
      <w:r w:rsidRPr="0061407B">
        <w:rPr>
          <w:sz w:val="20"/>
          <w:szCs w:val="20"/>
          <w:lang w:val="fr-FR"/>
        </w:rPr>
        <w:t xml:space="preserve">(v) Coût et </w:t>
      </w:r>
      <w:r w:rsidR="0061407B" w:rsidRPr="0061407B">
        <w:rPr>
          <w:sz w:val="20"/>
          <w:szCs w:val="20"/>
          <w:lang w:val="fr-FR"/>
        </w:rPr>
        <w:t>d</w:t>
      </w:r>
      <w:r w:rsidRPr="0061407B">
        <w:rPr>
          <w:sz w:val="20"/>
          <w:szCs w:val="20"/>
          <w:lang w:val="fr-FR"/>
        </w:rPr>
        <w:t>ate d'acquisition (ou date de réception, si le matériel a été fourni par le gouvernement fédéral).</w:t>
      </w:r>
    </w:p>
    <w:p w:rsidR="00436B99" w:rsidRPr="0061407B" w:rsidRDefault="00436B99" w:rsidP="00436B99">
      <w:pPr>
        <w:spacing w:after="0"/>
        <w:ind w:left="720"/>
        <w:contextualSpacing/>
        <w:rPr>
          <w:sz w:val="20"/>
          <w:szCs w:val="20"/>
          <w:lang w:val="fr-FR"/>
        </w:rPr>
      </w:pPr>
      <w:r w:rsidRPr="0061407B">
        <w:rPr>
          <w:sz w:val="20"/>
          <w:szCs w:val="20"/>
          <w:lang w:val="fr-FR"/>
        </w:rPr>
        <w:t xml:space="preserve">(vi) L'information à partir de laquelle on peut calculer le pourcentage de la contribution du gouvernement fédérale par rapport au coût du matériel (ne s'applique pas aux </w:t>
      </w:r>
      <w:r w:rsidR="0061407B" w:rsidRPr="0061407B">
        <w:rPr>
          <w:sz w:val="20"/>
          <w:szCs w:val="20"/>
          <w:lang w:val="fr-FR"/>
        </w:rPr>
        <w:t>équipements</w:t>
      </w:r>
      <w:r w:rsidR="00B64A02" w:rsidRPr="0061407B">
        <w:rPr>
          <w:sz w:val="20"/>
          <w:szCs w:val="20"/>
          <w:lang w:val="fr-FR"/>
        </w:rPr>
        <w:t xml:space="preserve"> </w:t>
      </w:r>
      <w:r w:rsidRPr="0061407B">
        <w:rPr>
          <w:sz w:val="20"/>
          <w:szCs w:val="20"/>
          <w:lang w:val="fr-FR"/>
        </w:rPr>
        <w:t>fournis par le gouvernement fédéral).</w:t>
      </w:r>
    </w:p>
    <w:p w:rsidR="00436B99" w:rsidRPr="0061407B" w:rsidRDefault="00436B99" w:rsidP="00436B99">
      <w:pPr>
        <w:spacing w:after="0"/>
        <w:ind w:left="720"/>
        <w:contextualSpacing/>
        <w:rPr>
          <w:sz w:val="20"/>
          <w:szCs w:val="20"/>
          <w:lang w:val="fr-FR"/>
        </w:rPr>
      </w:pPr>
      <w:r w:rsidRPr="0061407B">
        <w:rPr>
          <w:sz w:val="20"/>
          <w:szCs w:val="20"/>
          <w:lang w:val="fr-FR"/>
        </w:rPr>
        <w:t xml:space="preserve">(vii) L'emplacement et l'état </w:t>
      </w:r>
      <w:r w:rsidR="00B64A02" w:rsidRPr="0061407B">
        <w:rPr>
          <w:sz w:val="20"/>
          <w:szCs w:val="20"/>
          <w:lang w:val="fr-FR"/>
        </w:rPr>
        <w:t>de l’</w:t>
      </w:r>
      <w:r w:rsidR="0061407B" w:rsidRPr="0061407B">
        <w:rPr>
          <w:sz w:val="20"/>
          <w:szCs w:val="20"/>
          <w:lang w:val="fr-FR"/>
        </w:rPr>
        <w:t>équipement</w:t>
      </w:r>
      <w:r w:rsidRPr="0061407B">
        <w:rPr>
          <w:sz w:val="20"/>
          <w:szCs w:val="20"/>
          <w:lang w:val="fr-FR"/>
        </w:rPr>
        <w:t xml:space="preserve"> et la date à laquelle l'information a été rapportée.</w:t>
      </w:r>
    </w:p>
    <w:p w:rsidR="00436B99" w:rsidRPr="0061407B" w:rsidRDefault="00436B99" w:rsidP="00436B99">
      <w:pPr>
        <w:spacing w:after="0"/>
        <w:ind w:left="720"/>
        <w:contextualSpacing/>
        <w:rPr>
          <w:sz w:val="20"/>
          <w:szCs w:val="20"/>
          <w:lang w:val="fr-FR"/>
        </w:rPr>
      </w:pPr>
      <w:r w:rsidRPr="0061407B">
        <w:rPr>
          <w:sz w:val="20"/>
          <w:szCs w:val="20"/>
          <w:lang w:val="fr-FR"/>
        </w:rPr>
        <w:t>(viii) Coût d'acquisition de l'unité.</w:t>
      </w:r>
    </w:p>
    <w:p w:rsidR="007E3D80" w:rsidRPr="0061407B" w:rsidRDefault="00436B99" w:rsidP="00436B99">
      <w:pPr>
        <w:spacing w:after="0"/>
        <w:ind w:left="720"/>
        <w:contextualSpacing/>
        <w:rPr>
          <w:sz w:val="20"/>
          <w:szCs w:val="20"/>
          <w:lang w:val="fr-FR"/>
        </w:rPr>
      </w:pPr>
      <w:r w:rsidRPr="0061407B">
        <w:rPr>
          <w:sz w:val="20"/>
          <w:szCs w:val="20"/>
          <w:lang w:val="fr-FR"/>
        </w:rPr>
        <w:t xml:space="preserve">(ix) Données définitives sur </w:t>
      </w:r>
      <w:r w:rsidR="00B64A02" w:rsidRPr="0061407B">
        <w:rPr>
          <w:sz w:val="20"/>
          <w:szCs w:val="20"/>
          <w:lang w:val="fr-FR"/>
        </w:rPr>
        <w:t xml:space="preserve">la </w:t>
      </w:r>
      <w:r w:rsidR="0061407B" w:rsidRPr="0061407B">
        <w:rPr>
          <w:sz w:val="20"/>
          <w:szCs w:val="20"/>
          <w:lang w:val="fr-FR"/>
        </w:rPr>
        <w:t>réforme</w:t>
      </w:r>
      <w:r w:rsidRPr="0061407B">
        <w:rPr>
          <w:sz w:val="20"/>
          <w:szCs w:val="20"/>
          <w:lang w:val="fr-FR"/>
        </w:rPr>
        <w:t xml:space="preserve">, y compris la date de </w:t>
      </w:r>
      <w:r w:rsidR="0061407B" w:rsidRPr="0061407B">
        <w:rPr>
          <w:sz w:val="20"/>
          <w:szCs w:val="20"/>
          <w:lang w:val="fr-FR"/>
        </w:rPr>
        <w:t>réforme</w:t>
      </w:r>
      <w:r w:rsidR="00B64A02" w:rsidRPr="0061407B">
        <w:rPr>
          <w:sz w:val="20"/>
          <w:szCs w:val="20"/>
          <w:lang w:val="fr-FR"/>
        </w:rPr>
        <w:t xml:space="preserve"> </w:t>
      </w:r>
      <w:r w:rsidRPr="0061407B">
        <w:rPr>
          <w:sz w:val="20"/>
          <w:szCs w:val="20"/>
          <w:lang w:val="fr-FR"/>
        </w:rPr>
        <w:t>et le prix de vente ou la méthode utilisée pour déterminer la juste valeur marchande actuelle lorsqu'un récipiendaire compense l'USAID pour sa part</w:t>
      </w:r>
      <w:r w:rsidR="007E3D80" w:rsidRPr="0061407B">
        <w:rPr>
          <w:sz w:val="20"/>
          <w:szCs w:val="20"/>
          <w:lang w:val="fr-FR"/>
        </w:rPr>
        <w:t>.</w:t>
      </w:r>
    </w:p>
    <w:p w:rsidR="007E3D80" w:rsidRPr="0061407B" w:rsidRDefault="007E3D80" w:rsidP="00986A7C">
      <w:pPr>
        <w:spacing w:after="0"/>
        <w:ind w:left="360"/>
        <w:rPr>
          <w:sz w:val="20"/>
          <w:szCs w:val="20"/>
          <w:lang w:val="fr-FR"/>
        </w:rPr>
      </w:pPr>
      <w:r w:rsidRPr="0061407B">
        <w:rPr>
          <w:sz w:val="20"/>
          <w:szCs w:val="20"/>
          <w:lang w:val="fr-FR"/>
        </w:rPr>
        <w:t xml:space="preserve">(2) </w:t>
      </w:r>
      <w:r w:rsidR="00436B99" w:rsidRPr="0061407B">
        <w:rPr>
          <w:sz w:val="20"/>
          <w:szCs w:val="20"/>
          <w:lang w:val="fr-FR"/>
        </w:rPr>
        <w:t>L</w:t>
      </w:r>
      <w:r w:rsidR="00B64A02" w:rsidRPr="0061407B">
        <w:rPr>
          <w:sz w:val="20"/>
          <w:szCs w:val="20"/>
          <w:lang w:val="fr-FR"/>
        </w:rPr>
        <w:t>’</w:t>
      </w:r>
      <w:r w:rsidR="0061407B" w:rsidRPr="0061407B">
        <w:rPr>
          <w:sz w:val="20"/>
          <w:szCs w:val="20"/>
          <w:lang w:val="fr-FR"/>
        </w:rPr>
        <w:t>équipement</w:t>
      </w:r>
      <w:r w:rsidR="00436B99" w:rsidRPr="0061407B">
        <w:rPr>
          <w:sz w:val="20"/>
          <w:szCs w:val="20"/>
          <w:lang w:val="fr-FR"/>
        </w:rPr>
        <w:t xml:space="preserve"> appartenant au gouvernement fédéral doit être identifié </w:t>
      </w:r>
      <w:r w:rsidR="00B64A02" w:rsidRPr="0061407B">
        <w:rPr>
          <w:sz w:val="20"/>
          <w:szCs w:val="20"/>
          <w:lang w:val="fr-FR"/>
        </w:rPr>
        <w:t xml:space="preserve">de sorte à </w:t>
      </w:r>
      <w:r w:rsidR="00436B99" w:rsidRPr="0061407B">
        <w:rPr>
          <w:sz w:val="20"/>
          <w:szCs w:val="20"/>
          <w:lang w:val="fr-FR"/>
        </w:rPr>
        <w:t>indiquer que le gouvernement fédéral est propriétaire</w:t>
      </w:r>
      <w:r w:rsidRPr="0061407B">
        <w:rPr>
          <w:sz w:val="20"/>
          <w:szCs w:val="20"/>
          <w:lang w:val="fr-FR"/>
        </w:rPr>
        <w:t>.</w:t>
      </w:r>
    </w:p>
    <w:p w:rsidR="00436B99" w:rsidRPr="0061407B" w:rsidRDefault="007E3D80" w:rsidP="00436B99">
      <w:pPr>
        <w:spacing w:after="0"/>
        <w:ind w:left="360"/>
        <w:rPr>
          <w:sz w:val="20"/>
          <w:szCs w:val="20"/>
          <w:lang w:val="fr-FR"/>
        </w:rPr>
      </w:pPr>
      <w:r w:rsidRPr="0061407B">
        <w:rPr>
          <w:sz w:val="20"/>
          <w:szCs w:val="20"/>
          <w:lang w:val="fr-FR"/>
        </w:rPr>
        <w:t xml:space="preserve">(3) </w:t>
      </w:r>
      <w:r w:rsidR="00436B99" w:rsidRPr="0061407B">
        <w:rPr>
          <w:sz w:val="20"/>
          <w:szCs w:val="20"/>
          <w:lang w:val="fr-FR"/>
        </w:rPr>
        <w:t xml:space="preserve">Un inventaire physique </w:t>
      </w:r>
      <w:r w:rsidR="00B64A02" w:rsidRPr="0061407B">
        <w:rPr>
          <w:sz w:val="20"/>
          <w:szCs w:val="20"/>
          <w:lang w:val="fr-FR"/>
        </w:rPr>
        <w:t xml:space="preserve">des </w:t>
      </w:r>
      <w:r w:rsidR="0061407B" w:rsidRPr="0061407B">
        <w:rPr>
          <w:sz w:val="20"/>
          <w:szCs w:val="20"/>
          <w:lang w:val="fr-FR"/>
        </w:rPr>
        <w:t>équipements</w:t>
      </w:r>
      <w:r w:rsidR="00436B99" w:rsidRPr="0061407B">
        <w:rPr>
          <w:sz w:val="20"/>
          <w:szCs w:val="20"/>
          <w:lang w:val="fr-FR"/>
        </w:rPr>
        <w:t xml:space="preserve"> doit être effectué et les résultats doivent être </w:t>
      </w:r>
      <w:r w:rsidR="00F41D2A" w:rsidRPr="0061407B">
        <w:rPr>
          <w:sz w:val="20"/>
          <w:szCs w:val="20"/>
          <w:lang w:val="fr-FR"/>
        </w:rPr>
        <w:t>réconciliés  avec l</w:t>
      </w:r>
      <w:r w:rsidR="00436B99" w:rsidRPr="0061407B">
        <w:rPr>
          <w:sz w:val="20"/>
          <w:szCs w:val="20"/>
          <w:lang w:val="fr-FR"/>
        </w:rPr>
        <w:t>es enregistrements d</w:t>
      </w:r>
      <w:r w:rsidR="00F41D2A" w:rsidRPr="0061407B">
        <w:rPr>
          <w:sz w:val="20"/>
          <w:szCs w:val="20"/>
          <w:lang w:val="fr-FR"/>
        </w:rPr>
        <w:t>u matériel</w:t>
      </w:r>
      <w:r w:rsidR="00436B99" w:rsidRPr="0061407B">
        <w:rPr>
          <w:sz w:val="20"/>
          <w:szCs w:val="20"/>
          <w:lang w:val="fr-FR"/>
        </w:rPr>
        <w:t xml:space="preserve"> au moins une fois tous les deux ans. Toute différence entre les quantités déterminées par l'inspection physique et celles indiquées dans les livres comptables doit être examinée pour dé</w:t>
      </w:r>
      <w:r w:rsidR="00F41D2A" w:rsidRPr="0061407B">
        <w:rPr>
          <w:sz w:val="20"/>
          <w:szCs w:val="20"/>
          <w:lang w:val="fr-FR"/>
        </w:rPr>
        <w:t>terminer les causes</w:t>
      </w:r>
      <w:r w:rsidR="00436B99" w:rsidRPr="0061407B">
        <w:rPr>
          <w:sz w:val="20"/>
          <w:szCs w:val="20"/>
          <w:lang w:val="fr-FR"/>
        </w:rPr>
        <w:t>. L</w:t>
      </w:r>
      <w:r w:rsidR="0061407B">
        <w:rPr>
          <w:sz w:val="20"/>
          <w:szCs w:val="20"/>
          <w:lang w:val="fr-FR"/>
        </w:rPr>
        <w:t>’organisme</w:t>
      </w:r>
      <w:r w:rsidR="00436B99" w:rsidRPr="0061407B">
        <w:rPr>
          <w:sz w:val="20"/>
          <w:szCs w:val="20"/>
          <w:lang w:val="fr-FR"/>
        </w:rPr>
        <w:t xml:space="preserve"> </w:t>
      </w:r>
      <w:r w:rsidR="00F41D2A" w:rsidRPr="0061407B">
        <w:rPr>
          <w:sz w:val="20"/>
          <w:szCs w:val="20"/>
          <w:lang w:val="fr-FR"/>
        </w:rPr>
        <w:t>récipiendaire doit, sur</w:t>
      </w:r>
      <w:r w:rsidR="00436B99" w:rsidRPr="0061407B">
        <w:rPr>
          <w:sz w:val="20"/>
          <w:szCs w:val="20"/>
          <w:lang w:val="fr-FR"/>
        </w:rPr>
        <w:t xml:space="preserve"> </w:t>
      </w:r>
      <w:r w:rsidR="0061407B">
        <w:rPr>
          <w:sz w:val="20"/>
          <w:szCs w:val="20"/>
          <w:lang w:val="fr-FR"/>
        </w:rPr>
        <w:t xml:space="preserve">la base de </w:t>
      </w:r>
      <w:r w:rsidR="00436B99" w:rsidRPr="0061407B">
        <w:rPr>
          <w:sz w:val="20"/>
          <w:szCs w:val="20"/>
          <w:lang w:val="fr-FR"/>
        </w:rPr>
        <w:t xml:space="preserve">l'inventaire, vérifier l'existence, l'utilisation actuelle et le besoin continu </w:t>
      </w:r>
      <w:r w:rsidR="00B64A02" w:rsidRPr="0061407B">
        <w:rPr>
          <w:sz w:val="20"/>
          <w:szCs w:val="20"/>
          <w:lang w:val="fr-FR"/>
        </w:rPr>
        <w:t>de l’</w:t>
      </w:r>
      <w:r w:rsidR="0061407B" w:rsidRPr="0061407B">
        <w:rPr>
          <w:sz w:val="20"/>
          <w:szCs w:val="20"/>
          <w:lang w:val="fr-FR"/>
        </w:rPr>
        <w:t>équipement</w:t>
      </w:r>
      <w:r w:rsidR="00B64A02" w:rsidRPr="0061407B">
        <w:rPr>
          <w:sz w:val="20"/>
          <w:szCs w:val="20"/>
          <w:lang w:val="fr-FR"/>
        </w:rPr>
        <w:t>.</w:t>
      </w:r>
    </w:p>
    <w:p w:rsidR="007E3D80" w:rsidRPr="0061407B" w:rsidRDefault="00436B99" w:rsidP="00436B99">
      <w:pPr>
        <w:spacing w:after="0"/>
        <w:ind w:left="360"/>
        <w:rPr>
          <w:sz w:val="20"/>
          <w:szCs w:val="20"/>
          <w:lang w:val="fr-FR"/>
        </w:rPr>
      </w:pPr>
      <w:r w:rsidRPr="0061407B">
        <w:rPr>
          <w:sz w:val="20"/>
          <w:szCs w:val="20"/>
          <w:lang w:val="fr-FR"/>
        </w:rPr>
        <w:t xml:space="preserve">(4) Un système de contrôle doit être </w:t>
      </w:r>
      <w:r w:rsidR="0061407B" w:rsidRPr="0061407B">
        <w:rPr>
          <w:sz w:val="20"/>
          <w:szCs w:val="20"/>
          <w:lang w:val="fr-FR"/>
        </w:rPr>
        <w:t>mis en place</w:t>
      </w:r>
      <w:r w:rsidRPr="0061407B">
        <w:rPr>
          <w:sz w:val="20"/>
          <w:szCs w:val="20"/>
          <w:lang w:val="fr-FR"/>
        </w:rPr>
        <w:t xml:space="preserve"> pour assurer des mesures de protection adéquates afin de prévenir la perte, l'endommagement ou le vol </w:t>
      </w:r>
      <w:r w:rsidR="00F41D2A" w:rsidRPr="0061407B">
        <w:rPr>
          <w:sz w:val="20"/>
          <w:szCs w:val="20"/>
          <w:lang w:val="fr-FR"/>
        </w:rPr>
        <w:t>du matériel</w:t>
      </w:r>
      <w:r w:rsidRPr="0061407B">
        <w:rPr>
          <w:sz w:val="20"/>
          <w:szCs w:val="20"/>
          <w:lang w:val="fr-FR"/>
        </w:rPr>
        <w:t xml:space="preserve">. Toute perte, tout dommage ou tout vol </w:t>
      </w:r>
      <w:r w:rsidR="00B64A02" w:rsidRPr="0061407B">
        <w:rPr>
          <w:sz w:val="20"/>
          <w:szCs w:val="20"/>
          <w:lang w:val="fr-FR"/>
        </w:rPr>
        <w:t>d’</w:t>
      </w:r>
      <w:r w:rsidR="0061407B" w:rsidRPr="0061407B">
        <w:rPr>
          <w:sz w:val="20"/>
          <w:szCs w:val="20"/>
          <w:lang w:val="fr-FR"/>
        </w:rPr>
        <w:t>équipement</w:t>
      </w:r>
      <w:r w:rsidRPr="0061407B">
        <w:rPr>
          <w:sz w:val="20"/>
          <w:szCs w:val="20"/>
          <w:lang w:val="fr-FR"/>
        </w:rPr>
        <w:t xml:space="preserve"> doit faire l'objet d'une enquête </w:t>
      </w:r>
      <w:r w:rsidR="00F41D2A" w:rsidRPr="0061407B">
        <w:rPr>
          <w:sz w:val="20"/>
          <w:szCs w:val="20"/>
          <w:lang w:val="fr-FR"/>
        </w:rPr>
        <w:t xml:space="preserve">et être entièrement documenté. </w:t>
      </w:r>
      <w:r w:rsidR="00B64A02" w:rsidRPr="0061407B">
        <w:rPr>
          <w:sz w:val="20"/>
          <w:szCs w:val="20"/>
          <w:lang w:val="fr-FR"/>
        </w:rPr>
        <w:t>Si l’</w:t>
      </w:r>
      <w:r w:rsidR="0061407B" w:rsidRPr="0061407B">
        <w:rPr>
          <w:sz w:val="20"/>
          <w:szCs w:val="20"/>
          <w:lang w:val="fr-FR"/>
        </w:rPr>
        <w:t>équipement</w:t>
      </w:r>
      <w:r w:rsidRPr="0061407B">
        <w:rPr>
          <w:sz w:val="20"/>
          <w:szCs w:val="20"/>
          <w:lang w:val="fr-FR"/>
        </w:rPr>
        <w:t xml:space="preserve"> appartenait au gouvernement fédéral, l</w:t>
      </w:r>
      <w:r w:rsidR="0061407B">
        <w:rPr>
          <w:sz w:val="20"/>
          <w:szCs w:val="20"/>
          <w:lang w:val="fr-FR"/>
        </w:rPr>
        <w:t>’organism</w:t>
      </w:r>
      <w:r w:rsidRPr="0061407B">
        <w:rPr>
          <w:sz w:val="20"/>
          <w:szCs w:val="20"/>
          <w:lang w:val="fr-FR"/>
        </w:rPr>
        <w:t xml:space="preserve">e </w:t>
      </w:r>
      <w:r w:rsidR="00F41D2A" w:rsidRPr="0061407B">
        <w:rPr>
          <w:sz w:val="20"/>
          <w:szCs w:val="20"/>
          <w:lang w:val="fr-FR"/>
        </w:rPr>
        <w:t>récipiendaire</w:t>
      </w:r>
      <w:r w:rsidRPr="0061407B">
        <w:rPr>
          <w:sz w:val="20"/>
          <w:szCs w:val="20"/>
          <w:lang w:val="fr-FR"/>
        </w:rPr>
        <w:t xml:space="preserve"> avise</w:t>
      </w:r>
      <w:r w:rsidR="00F41D2A" w:rsidRPr="0061407B">
        <w:rPr>
          <w:sz w:val="20"/>
          <w:szCs w:val="20"/>
          <w:lang w:val="fr-FR"/>
        </w:rPr>
        <w:t>ra</w:t>
      </w:r>
      <w:r w:rsidR="00B64A02" w:rsidRPr="0061407B">
        <w:rPr>
          <w:sz w:val="20"/>
          <w:szCs w:val="20"/>
          <w:lang w:val="fr-FR"/>
        </w:rPr>
        <w:t xml:space="preserve">, dans les </w:t>
      </w:r>
      <w:r w:rsidR="0061407B" w:rsidRPr="0061407B">
        <w:rPr>
          <w:sz w:val="20"/>
          <w:szCs w:val="20"/>
          <w:lang w:val="fr-FR"/>
        </w:rPr>
        <w:t>délais</w:t>
      </w:r>
      <w:r w:rsidR="00B64A02" w:rsidRPr="0061407B">
        <w:rPr>
          <w:sz w:val="20"/>
          <w:szCs w:val="20"/>
          <w:lang w:val="fr-FR"/>
        </w:rPr>
        <w:t>,</w:t>
      </w:r>
      <w:r w:rsidRPr="0061407B">
        <w:rPr>
          <w:sz w:val="20"/>
          <w:szCs w:val="20"/>
          <w:lang w:val="fr-FR"/>
        </w:rPr>
        <w:t xml:space="preserve"> l'</w:t>
      </w:r>
      <w:r w:rsidR="00F41D2A" w:rsidRPr="0061407B">
        <w:rPr>
          <w:sz w:val="20"/>
          <w:szCs w:val="20"/>
          <w:lang w:val="fr-FR"/>
        </w:rPr>
        <w:t xml:space="preserve">agence </w:t>
      </w:r>
      <w:r w:rsidR="0061407B">
        <w:rPr>
          <w:sz w:val="20"/>
          <w:szCs w:val="20"/>
          <w:lang w:val="fr-FR"/>
        </w:rPr>
        <w:t xml:space="preserve">donatrice </w:t>
      </w:r>
      <w:r w:rsidRPr="0061407B">
        <w:rPr>
          <w:sz w:val="20"/>
          <w:szCs w:val="20"/>
          <w:lang w:val="fr-FR"/>
        </w:rPr>
        <w:t>fédéral</w:t>
      </w:r>
      <w:r w:rsidR="0061407B">
        <w:rPr>
          <w:sz w:val="20"/>
          <w:szCs w:val="20"/>
          <w:lang w:val="fr-FR"/>
        </w:rPr>
        <w:t>e</w:t>
      </w:r>
      <w:r w:rsidRPr="0061407B">
        <w:rPr>
          <w:sz w:val="20"/>
          <w:szCs w:val="20"/>
          <w:lang w:val="fr-FR"/>
        </w:rPr>
        <w:t xml:space="preserve">  dont les fonds ont été </w:t>
      </w:r>
      <w:r w:rsidR="0061407B" w:rsidRPr="0061407B">
        <w:rPr>
          <w:sz w:val="20"/>
          <w:szCs w:val="20"/>
          <w:lang w:val="fr-FR"/>
        </w:rPr>
        <w:t>utilisés</w:t>
      </w:r>
      <w:r w:rsidR="00B64A02" w:rsidRPr="0061407B">
        <w:rPr>
          <w:sz w:val="20"/>
          <w:szCs w:val="20"/>
          <w:lang w:val="fr-FR"/>
        </w:rPr>
        <w:t xml:space="preserve"> pour </w:t>
      </w:r>
      <w:r w:rsidR="0061407B" w:rsidRPr="0061407B">
        <w:rPr>
          <w:sz w:val="20"/>
          <w:szCs w:val="20"/>
          <w:lang w:val="fr-FR"/>
        </w:rPr>
        <w:t>acquérir</w:t>
      </w:r>
      <w:r w:rsidR="00B64A02" w:rsidRPr="0061407B">
        <w:rPr>
          <w:sz w:val="20"/>
          <w:szCs w:val="20"/>
          <w:lang w:val="fr-FR"/>
        </w:rPr>
        <w:t xml:space="preserve"> l’</w:t>
      </w:r>
      <w:r w:rsidR="0061407B" w:rsidRPr="0061407B">
        <w:rPr>
          <w:sz w:val="20"/>
          <w:szCs w:val="20"/>
          <w:lang w:val="fr-FR"/>
        </w:rPr>
        <w:t>équipement</w:t>
      </w:r>
      <w:r w:rsidR="007E3D80" w:rsidRPr="0061407B">
        <w:rPr>
          <w:sz w:val="20"/>
          <w:szCs w:val="20"/>
          <w:lang w:val="fr-FR"/>
        </w:rPr>
        <w:t>.</w:t>
      </w:r>
    </w:p>
    <w:p w:rsidR="00CF7C8D" w:rsidRPr="0061407B" w:rsidRDefault="007E3D80" w:rsidP="00CF7C8D">
      <w:pPr>
        <w:spacing w:after="0"/>
        <w:ind w:left="360"/>
        <w:rPr>
          <w:sz w:val="20"/>
          <w:szCs w:val="20"/>
          <w:lang w:val="fr-FR"/>
        </w:rPr>
      </w:pPr>
      <w:r w:rsidRPr="0061407B">
        <w:rPr>
          <w:sz w:val="20"/>
          <w:szCs w:val="20"/>
          <w:lang w:val="fr-FR"/>
        </w:rPr>
        <w:t xml:space="preserve">(5) </w:t>
      </w:r>
      <w:r w:rsidR="00CF7C8D" w:rsidRPr="0061407B">
        <w:rPr>
          <w:sz w:val="20"/>
          <w:szCs w:val="20"/>
          <w:lang w:val="fr-FR"/>
        </w:rPr>
        <w:t xml:space="preserve">Des procédures d'entretien adéquates doivent être </w:t>
      </w:r>
      <w:r w:rsidR="0061407B" w:rsidRPr="0061407B">
        <w:rPr>
          <w:sz w:val="20"/>
          <w:szCs w:val="20"/>
          <w:lang w:val="fr-FR"/>
        </w:rPr>
        <w:t>appliquées</w:t>
      </w:r>
      <w:r w:rsidR="00CF7C8D" w:rsidRPr="0061407B">
        <w:rPr>
          <w:sz w:val="20"/>
          <w:szCs w:val="20"/>
          <w:lang w:val="fr-FR"/>
        </w:rPr>
        <w:t xml:space="preserve"> pour maintenir </w:t>
      </w:r>
      <w:r w:rsidR="0061407B">
        <w:rPr>
          <w:sz w:val="20"/>
          <w:szCs w:val="20"/>
          <w:lang w:val="fr-FR"/>
        </w:rPr>
        <w:t>les équipements</w:t>
      </w:r>
      <w:r w:rsidR="00CF7C8D" w:rsidRPr="0061407B">
        <w:rPr>
          <w:sz w:val="20"/>
          <w:szCs w:val="20"/>
          <w:lang w:val="fr-FR"/>
        </w:rPr>
        <w:t xml:space="preserve"> en bon état.</w:t>
      </w:r>
    </w:p>
    <w:p w:rsidR="007E3D80" w:rsidRPr="0061407B" w:rsidRDefault="0061407B" w:rsidP="00CF7C8D">
      <w:pPr>
        <w:spacing w:after="0"/>
        <w:ind w:left="360"/>
        <w:rPr>
          <w:sz w:val="20"/>
          <w:szCs w:val="20"/>
          <w:lang w:val="fr-FR"/>
        </w:rPr>
      </w:pPr>
      <w:r>
        <w:rPr>
          <w:sz w:val="20"/>
          <w:szCs w:val="20"/>
          <w:lang w:val="fr-FR"/>
        </w:rPr>
        <w:t>(6) Lorsque l’organisme</w:t>
      </w:r>
      <w:r w:rsidR="00CF7C8D" w:rsidRPr="0061407B">
        <w:rPr>
          <w:sz w:val="20"/>
          <w:szCs w:val="20"/>
          <w:lang w:val="fr-FR"/>
        </w:rPr>
        <w:t xml:space="preserve"> récipiendaire est autorisé ou obligé de vendre le matériel, des procédures de vente appropriées doivent être établies afin de favoriser la concurrence </w:t>
      </w:r>
      <w:r w:rsidR="00B64A02" w:rsidRPr="0061407B">
        <w:rPr>
          <w:sz w:val="20"/>
          <w:szCs w:val="20"/>
          <w:lang w:val="fr-FR"/>
        </w:rPr>
        <w:t>dans la mesure du possible</w:t>
      </w:r>
      <w:r w:rsidR="00210C9A" w:rsidRPr="0061407B">
        <w:rPr>
          <w:sz w:val="20"/>
          <w:szCs w:val="20"/>
          <w:lang w:val="fr-FR"/>
        </w:rPr>
        <w:t xml:space="preserve"> </w:t>
      </w:r>
      <w:r w:rsidR="00CF7C8D" w:rsidRPr="0061407B">
        <w:rPr>
          <w:sz w:val="20"/>
          <w:szCs w:val="20"/>
          <w:lang w:val="fr-FR"/>
        </w:rPr>
        <w:t xml:space="preserve"> et d'obtenir le meilleur </w:t>
      </w:r>
      <w:r w:rsidRPr="0061407B">
        <w:rPr>
          <w:sz w:val="20"/>
          <w:szCs w:val="20"/>
          <w:lang w:val="fr-FR"/>
        </w:rPr>
        <w:t>bénéfice</w:t>
      </w:r>
      <w:r w:rsidR="00B64A02" w:rsidRPr="0061407B">
        <w:rPr>
          <w:sz w:val="20"/>
          <w:szCs w:val="20"/>
          <w:lang w:val="fr-FR"/>
        </w:rPr>
        <w:t xml:space="preserve"> possible</w:t>
      </w:r>
      <w:r w:rsidR="007E3D80" w:rsidRPr="0061407B">
        <w:rPr>
          <w:sz w:val="20"/>
          <w:szCs w:val="20"/>
          <w:lang w:val="fr-FR"/>
        </w:rPr>
        <w:t>.</w:t>
      </w:r>
    </w:p>
    <w:p w:rsidR="007E3D80" w:rsidRPr="0061407B" w:rsidRDefault="007E3D80" w:rsidP="003E691E">
      <w:pPr>
        <w:spacing w:after="0"/>
        <w:rPr>
          <w:sz w:val="20"/>
          <w:szCs w:val="20"/>
          <w:lang w:val="fr-FR"/>
        </w:rPr>
      </w:pPr>
      <w:r w:rsidRPr="0061407B">
        <w:rPr>
          <w:sz w:val="20"/>
          <w:szCs w:val="20"/>
          <w:lang w:val="fr-FR"/>
        </w:rPr>
        <w:t>(g</w:t>
      </w:r>
      <w:r w:rsidR="007A0036" w:rsidRPr="0061407B">
        <w:rPr>
          <w:sz w:val="20"/>
          <w:szCs w:val="20"/>
          <w:lang w:val="fr-FR"/>
        </w:rPr>
        <w:t xml:space="preserve">) </w:t>
      </w:r>
      <w:r w:rsidR="00CF7C8D" w:rsidRPr="0061407B">
        <w:rPr>
          <w:sz w:val="20"/>
          <w:szCs w:val="20"/>
          <w:lang w:val="fr-FR"/>
        </w:rPr>
        <w:t>Lorsque l</w:t>
      </w:r>
      <w:r w:rsidR="0061407B">
        <w:rPr>
          <w:sz w:val="20"/>
          <w:szCs w:val="20"/>
          <w:lang w:val="fr-FR"/>
        </w:rPr>
        <w:t xml:space="preserve">’organisme </w:t>
      </w:r>
      <w:r w:rsidR="007A0036" w:rsidRPr="0061407B">
        <w:rPr>
          <w:sz w:val="20"/>
          <w:szCs w:val="20"/>
          <w:lang w:val="fr-FR"/>
        </w:rPr>
        <w:t>récipiendaire</w:t>
      </w:r>
      <w:r w:rsidR="00CF7C8D" w:rsidRPr="0061407B">
        <w:rPr>
          <w:sz w:val="20"/>
          <w:szCs w:val="20"/>
          <w:lang w:val="fr-FR"/>
        </w:rPr>
        <w:t xml:space="preserve"> n'a plus besoin </w:t>
      </w:r>
      <w:r w:rsidR="00B64A02" w:rsidRPr="0061407B">
        <w:rPr>
          <w:sz w:val="20"/>
          <w:szCs w:val="20"/>
          <w:lang w:val="fr-FR"/>
        </w:rPr>
        <w:t>de l’</w:t>
      </w:r>
      <w:r w:rsidR="0061407B" w:rsidRPr="0061407B">
        <w:rPr>
          <w:sz w:val="20"/>
          <w:szCs w:val="20"/>
          <w:lang w:val="fr-FR"/>
        </w:rPr>
        <w:t>équipement</w:t>
      </w:r>
      <w:r w:rsidR="00CF7C8D" w:rsidRPr="0061407B">
        <w:rPr>
          <w:sz w:val="20"/>
          <w:szCs w:val="20"/>
          <w:lang w:val="fr-FR"/>
        </w:rPr>
        <w:t xml:space="preserve">, il peut être utilisé pour d'autres activités conformément aux normes suivantes. </w:t>
      </w:r>
      <w:r w:rsidR="007A0036" w:rsidRPr="0061407B">
        <w:rPr>
          <w:sz w:val="20"/>
          <w:szCs w:val="20"/>
          <w:lang w:val="fr-FR"/>
        </w:rPr>
        <w:t>Pour</w:t>
      </w:r>
      <w:r w:rsidR="00CF7C8D" w:rsidRPr="0061407B">
        <w:rPr>
          <w:sz w:val="20"/>
          <w:szCs w:val="20"/>
          <w:lang w:val="fr-FR"/>
        </w:rPr>
        <w:t xml:space="preserve"> les </w:t>
      </w:r>
      <w:r w:rsidR="0061407B">
        <w:rPr>
          <w:sz w:val="20"/>
          <w:szCs w:val="20"/>
          <w:lang w:val="fr-FR"/>
        </w:rPr>
        <w:t>équipements</w:t>
      </w:r>
      <w:r w:rsidR="00CF7C8D" w:rsidRPr="0061407B">
        <w:rPr>
          <w:sz w:val="20"/>
          <w:szCs w:val="20"/>
          <w:lang w:val="fr-FR"/>
        </w:rPr>
        <w:t xml:space="preserve"> dont la juste valeur marchande par unité actuelle est </w:t>
      </w:r>
      <w:r w:rsidR="0061407B" w:rsidRPr="0061407B">
        <w:rPr>
          <w:sz w:val="20"/>
          <w:szCs w:val="20"/>
          <w:lang w:val="fr-FR"/>
        </w:rPr>
        <w:t>égale</w:t>
      </w:r>
      <w:r w:rsidR="00B64A02" w:rsidRPr="0061407B">
        <w:rPr>
          <w:sz w:val="20"/>
          <w:szCs w:val="20"/>
          <w:lang w:val="fr-FR"/>
        </w:rPr>
        <w:t xml:space="preserve"> ou </w:t>
      </w:r>
      <w:r w:rsidR="0061407B" w:rsidRPr="0061407B">
        <w:rPr>
          <w:sz w:val="20"/>
          <w:szCs w:val="20"/>
          <w:lang w:val="fr-FR"/>
        </w:rPr>
        <w:t>supérieure</w:t>
      </w:r>
      <w:r w:rsidR="00B64A02" w:rsidRPr="0061407B">
        <w:rPr>
          <w:sz w:val="20"/>
          <w:szCs w:val="20"/>
          <w:lang w:val="fr-FR"/>
        </w:rPr>
        <w:t xml:space="preserve"> à </w:t>
      </w:r>
      <w:r w:rsidR="00CF7C8D" w:rsidRPr="0061407B">
        <w:rPr>
          <w:sz w:val="20"/>
          <w:szCs w:val="20"/>
          <w:lang w:val="fr-FR"/>
        </w:rPr>
        <w:t xml:space="preserve">5 000 </w:t>
      </w:r>
      <w:r w:rsidR="0061407B" w:rsidRPr="0061407B">
        <w:rPr>
          <w:sz w:val="20"/>
          <w:szCs w:val="20"/>
          <w:lang w:val="fr-FR"/>
        </w:rPr>
        <w:t>dollars,</w:t>
      </w:r>
      <w:r w:rsidR="0061407B">
        <w:rPr>
          <w:sz w:val="20"/>
          <w:szCs w:val="20"/>
          <w:lang w:val="fr-FR"/>
        </w:rPr>
        <w:t xml:space="preserve"> l’organisme </w:t>
      </w:r>
      <w:r w:rsidR="00CF7C8D" w:rsidRPr="0061407B">
        <w:rPr>
          <w:sz w:val="20"/>
          <w:szCs w:val="20"/>
          <w:lang w:val="fr-FR"/>
        </w:rPr>
        <w:t xml:space="preserve">récipiendaire peut </w:t>
      </w:r>
      <w:r w:rsidR="00B64A02" w:rsidRPr="0061407B">
        <w:rPr>
          <w:sz w:val="20"/>
          <w:szCs w:val="20"/>
          <w:lang w:val="fr-FR"/>
        </w:rPr>
        <w:t>le</w:t>
      </w:r>
      <w:r w:rsidR="0061407B">
        <w:rPr>
          <w:sz w:val="20"/>
          <w:szCs w:val="20"/>
          <w:lang w:val="fr-FR"/>
        </w:rPr>
        <w:t>s</w:t>
      </w:r>
      <w:r w:rsidR="00B64A02" w:rsidRPr="0061407B">
        <w:rPr>
          <w:sz w:val="20"/>
          <w:szCs w:val="20"/>
          <w:lang w:val="fr-FR"/>
        </w:rPr>
        <w:t xml:space="preserve"> </w:t>
      </w:r>
      <w:r w:rsidR="00CF7C8D" w:rsidRPr="0061407B">
        <w:rPr>
          <w:sz w:val="20"/>
          <w:szCs w:val="20"/>
          <w:lang w:val="fr-FR"/>
        </w:rPr>
        <w:t>conserver pour d'autres utilisations pourvu que la compensation soit versée à l'agence fédéral</w:t>
      </w:r>
      <w:r w:rsidR="0061407B" w:rsidRPr="0061407B">
        <w:rPr>
          <w:sz w:val="20"/>
          <w:szCs w:val="20"/>
          <w:lang w:val="fr-FR"/>
        </w:rPr>
        <w:t>e</w:t>
      </w:r>
      <w:r w:rsidR="00CF7C8D" w:rsidRPr="0061407B">
        <w:rPr>
          <w:sz w:val="20"/>
          <w:szCs w:val="20"/>
          <w:lang w:val="fr-FR"/>
        </w:rPr>
        <w:t xml:space="preserve"> </w:t>
      </w:r>
      <w:r w:rsidR="00B64A02" w:rsidRPr="0061407B">
        <w:rPr>
          <w:sz w:val="20"/>
          <w:szCs w:val="20"/>
          <w:lang w:val="fr-FR"/>
        </w:rPr>
        <w:t>initiale</w:t>
      </w:r>
      <w:r w:rsidR="0061407B" w:rsidRPr="0061407B">
        <w:rPr>
          <w:sz w:val="20"/>
          <w:szCs w:val="20"/>
          <w:lang w:val="fr-FR"/>
        </w:rPr>
        <w:t xml:space="preserve"> </w:t>
      </w:r>
      <w:r w:rsidR="0061407B">
        <w:rPr>
          <w:sz w:val="20"/>
          <w:szCs w:val="20"/>
          <w:lang w:val="fr-FR"/>
        </w:rPr>
        <w:t>adjudicatrice</w:t>
      </w:r>
      <w:r w:rsidR="00B64A02" w:rsidRPr="0061407B">
        <w:rPr>
          <w:sz w:val="20"/>
          <w:szCs w:val="20"/>
          <w:lang w:val="fr-FR"/>
        </w:rPr>
        <w:t xml:space="preserve"> </w:t>
      </w:r>
      <w:r w:rsidR="00CF7C8D" w:rsidRPr="0061407B">
        <w:rPr>
          <w:sz w:val="20"/>
          <w:szCs w:val="20"/>
          <w:lang w:val="fr-FR"/>
        </w:rPr>
        <w:t xml:space="preserve">ou à son successeur. Le montant de la compensation sera calculé en appliquant le pourcentage de la contribution fédérale au coût du projet ou programme initial à la juste valeur marchande actuelle </w:t>
      </w:r>
      <w:r w:rsidR="00B64A02" w:rsidRPr="0061407B">
        <w:rPr>
          <w:sz w:val="20"/>
          <w:szCs w:val="20"/>
          <w:lang w:val="fr-FR"/>
        </w:rPr>
        <w:t>de l’</w:t>
      </w:r>
      <w:r w:rsidR="0061407B" w:rsidRPr="0061407B">
        <w:rPr>
          <w:sz w:val="20"/>
          <w:szCs w:val="20"/>
          <w:lang w:val="fr-FR"/>
        </w:rPr>
        <w:t>équipement</w:t>
      </w:r>
      <w:r w:rsidR="00CF7C8D" w:rsidRPr="0061407B">
        <w:rPr>
          <w:sz w:val="20"/>
          <w:szCs w:val="20"/>
          <w:lang w:val="fr-FR"/>
        </w:rPr>
        <w:t xml:space="preserve">. Si le </w:t>
      </w:r>
      <w:r w:rsidR="007A0036" w:rsidRPr="0061407B">
        <w:rPr>
          <w:sz w:val="20"/>
          <w:szCs w:val="20"/>
          <w:lang w:val="fr-FR"/>
        </w:rPr>
        <w:t>récipiendaire</w:t>
      </w:r>
      <w:r w:rsidR="00CF7C8D" w:rsidRPr="0061407B">
        <w:rPr>
          <w:sz w:val="20"/>
          <w:szCs w:val="20"/>
          <w:lang w:val="fr-FR"/>
        </w:rPr>
        <w:t xml:space="preserve"> n'a pas besoin </w:t>
      </w:r>
      <w:r w:rsidR="00B64A02" w:rsidRPr="0061407B">
        <w:rPr>
          <w:sz w:val="20"/>
          <w:szCs w:val="20"/>
          <w:lang w:val="fr-FR"/>
        </w:rPr>
        <w:t>d</w:t>
      </w:r>
      <w:r w:rsidR="0061407B" w:rsidRPr="0061407B">
        <w:rPr>
          <w:sz w:val="20"/>
          <w:szCs w:val="20"/>
          <w:lang w:val="fr-FR"/>
        </w:rPr>
        <w:t>e l</w:t>
      </w:r>
      <w:r w:rsidR="00B64A02" w:rsidRPr="0061407B">
        <w:rPr>
          <w:sz w:val="20"/>
          <w:szCs w:val="20"/>
          <w:lang w:val="fr-FR"/>
        </w:rPr>
        <w:t>’</w:t>
      </w:r>
      <w:r w:rsidR="0061407B" w:rsidRPr="0061407B">
        <w:rPr>
          <w:sz w:val="20"/>
          <w:szCs w:val="20"/>
          <w:lang w:val="fr-FR"/>
        </w:rPr>
        <w:t>équipement</w:t>
      </w:r>
      <w:r w:rsidR="00CF7C8D" w:rsidRPr="0061407B">
        <w:rPr>
          <w:sz w:val="20"/>
          <w:szCs w:val="20"/>
          <w:lang w:val="fr-FR"/>
        </w:rPr>
        <w:t xml:space="preserve"> financé par l'USAID, il doit demander des instructions de </w:t>
      </w:r>
      <w:r w:rsidR="0061407B" w:rsidRPr="0061407B">
        <w:rPr>
          <w:sz w:val="20"/>
          <w:szCs w:val="20"/>
          <w:lang w:val="fr-FR"/>
        </w:rPr>
        <w:t>réforme</w:t>
      </w:r>
      <w:r w:rsidR="00B64A02" w:rsidRPr="0061407B">
        <w:rPr>
          <w:sz w:val="20"/>
          <w:szCs w:val="20"/>
          <w:lang w:val="fr-FR"/>
        </w:rPr>
        <w:t xml:space="preserve"> au responsable </w:t>
      </w:r>
      <w:r w:rsidR="00CF7C8D" w:rsidRPr="0061407B">
        <w:rPr>
          <w:sz w:val="20"/>
          <w:szCs w:val="20"/>
          <w:lang w:val="fr-FR"/>
        </w:rPr>
        <w:t xml:space="preserve">de l'accord. L'USAID doit déterminer si </w:t>
      </w:r>
      <w:r w:rsidR="00B64A02" w:rsidRPr="0061407B">
        <w:rPr>
          <w:sz w:val="20"/>
          <w:szCs w:val="20"/>
          <w:lang w:val="fr-FR"/>
        </w:rPr>
        <w:t>l’</w:t>
      </w:r>
      <w:r w:rsidR="0061407B" w:rsidRPr="0061407B">
        <w:rPr>
          <w:sz w:val="20"/>
          <w:szCs w:val="20"/>
          <w:lang w:val="fr-FR"/>
        </w:rPr>
        <w:t>équipement</w:t>
      </w:r>
      <w:r w:rsidR="00B64A02" w:rsidRPr="0061407B">
        <w:rPr>
          <w:sz w:val="20"/>
          <w:szCs w:val="20"/>
          <w:lang w:val="fr-FR"/>
        </w:rPr>
        <w:t xml:space="preserve"> </w:t>
      </w:r>
      <w:r w:rsidR="00CF7C8D" w:rsidRPr="0061407B">
        <w:rPr>
          <w:sz w:val="20"/>
          <w:szCs w:val="20"/>
          <w:lang w:val="fr-FR"/>
        </w:rPr>
        <w:t xml:space="preserve">peut être utilisé pour répondre aux </w:t>
      </w:r>
      <w:r w:rsidR="00B64A02" w:rsidRPr="0061407B">
        <w:rPr>
          <w:sz w:val="20"/>
          <w:szCs w:val="20"/>
          <w:lang w:val="fr-FR"/>
        </w:rPr>
        <w:t xml:space="preserve">besoins </w:t>
      </w:r>
      <w:r w:rsidR="00CF7C8D" w:rsidRPr="0061407B">
        <w:rPr>
          <w:sz w:val="20"/>
          <w:szCs w:val="20"/>
          <w:lang w:val="fr-FR"/>
        </w:rPr>
        <w:t>de l'agence. Si aucun</w:t>
      </w:r>
      <w:r w:rsidR="00B64A02" w:rsidRPr="0061407B">
        <w:rPr>
          <w:sz w:val="20"/>
          <w:szCs w:val="20"/>
          <w:lang w:val="fr-FR"/>
        </w:rPr>
        <w:t xml:space="preserve"> besoin</w:t>
      </w:r>
      <w:r w:rsidR="00CF7C8D" w:rsidRPr="0061407B">
        <w:rPr>
          <w:sz w:val="20"/>
          <w:szCs w:val="20"/>
          <w:lang w:val="fr-FR"/>
        </w:rPr>
        <w:t xml:space="preserve"> n'existe au sein de l'USAID, la disponibilité du </w:t>
      </w:r>
      <w:r w:rsidR="007A0036" w:rsidRPr="0061407B">
        <w:rPr>
          <w:sz w:val="20"/>
          <w:szCs w:val="20"/>
          <w:lang w:val="fr-FR"/>
        </w:rPr>
        <w:t>matériel</w:t>
      </w:r>
      <w:r w:rsidR="00CF7C8D" w:rsidRPr="0061407B">
        <w:rPr>
          <w:sz w:val="20"/>
          <w:szCs w:val="20"/>
          <w:lang w:val="fr-FR"/>
        </w:rPr>
        <w:t xml:space="preserve"> doit être signalée à l'Administration des Services Généraux pour déterminer si </w:t>
      </w:r>
      <w:r w:rsidR="00B64A02" w:rsidRPr="0061407B">
        <w:rPr>
          <w:sz w:val="20"/>
          <w:szCs w:val="20"/>
          <w:lang w:val="fr-FR"/>
        </w:rPr>
        <w:t xml:space="preserve">un besoin pour cet </w:t>
      </w:r>
      <w:r w:rsidR="0061407B" w:rsidRPr="0061407B">
        <w:rPr>
          <w:sz w:val="20"/>
          <w:szCs w:val="20"/>
          <w:lang w:val="fr-FR"/>
        </w:rPr>
        <w:t>équipement</w:t>
      </w:r>
      <w:r w:rsidR="00CF7C8D" w:rsidRPr="0061407B">
        <w:rPr>
          <w:sz w:val="20"/>
          <w:szCs w:val="20"/>
          <w:lang w:val="fr-FR"/>
        </w:rPr>
        <w:t xml:space="preserve"> existe dans d'autres agences fédérales. </w:t>
      </w:r>
      <w:r w:rsidR="00B64A02" w:rsidRPr="0061407B">
        <w:rPr>
          <w:sz w:val="20"/>
          <w:szCs w:val="20"/>
          <w:lang w:val="fr-FR"/>
        </w:rPr>
        <w:t>Le responsable de l’accord</w:t>
      </w:r>
      <w:r w:rsidR="00CF7C8D" w:rsidRPr="0061407B">
        <w:rPr>
          <w:sz w:val="20"/>
          <w:szCs w:val="20"/>
          <w:lang w:val="fr-FR"/>
        </w:rPr>
        <w:t xml:space="preserve"> de l'USAI</w:t>
      </w:r>
      <w:r w:rsidR="0061407B">
        <w:rPr>
          <w:sz w:val="20"/>
          <w:szCs w:val="20"/>
          <w:lang w:val="fr-FR"/>
        </w:rPr>
        <w:t xml:space="preserve">D doit </w:t>
      </w:r>
      <w:proofErr w:type="gramStart"/>
      <w:r w:rsidR="0061407B">
        <w:rPr>
          <w:sz w:val="20"/>
          <w:szCs w:val="20"/>
          <w:lang w:val="fr-FR"/>
        </w:rPr>
        <w:t>donner</w:t>
      </w:r>
      <w:proofErr w:type="gramEnd"/>
      <w:r w:rsidR="0061407B">
        <w:rPr>
          <w:sz w:val="20"/>
          <w:szCs w:val="20"/>
          <w:lang w:val="fr-FR"/>
        </w:rPr>
        <w:t xml:space="preserve"> des instructions à l’organisme </w:t>
      </w:r>
      <w:r w:rsidR="007A0036" w:rsidRPr="0061407B">
        <w:rPr>
          <w:sz w:val="20"/>
          <w:szCs w:val="20"/>
          <w:lang w:val="fr-FR"/>
        </w:rPr>
        <w:t>récipiendaire</w:t>
      </w:r>
      <w:r w:rsidR="00CF7C8D" w:rsidRPr="0061407B">
        <w:rPr>
          <w:sz w:val="20"/>
          <w:szCs w:val="20"/>
          <w:lang w:val="fr-FR"/>
        </w:rPr>
        <w:t xml:space="preserve"> au plus tard 120 jours après sa demande et les procédures suivantes </w:t>
      </w:r>
      <w:r w:rsidR="00B64A02" w:rsidRPr="0061407B">
        <w:rPr>
          <w:sz w:val="20"/>
          <w:szCs w:val="20"/>
          <w:lang w:val="fr-FR"/>
        </w:rPr>
        <w:t xml:space="preserve">sont </w:t>
      </w:r>
      <w:r w:rsidR="0061407B" w:rsidRPr="0061407B">
        <w:rPr>
          <w:sz w:val="20"/>
          <w:szCs w:val="20"/>
          <w:lang w:val="fr-FR"/>
        </w:rPr>
        <w:t>applicables</w:t>
      </w:r>
      <w:r w:rsidR="00CF7C8D" w:rsidRPr="0061407B">
        <w:rPr>
          <w:sz w:val="20"/>
          <w:szCs w:val="20"/>
          <w:lang w:val="fr-FR"/>
        </w:rPr>
        <w:t>:</w:t>
      </w:r>
    </w:p>
    <w:p w:rsidR="0011277B" w:rsidRPr="0061407B" w:rsidRDefault="007E3D80" w:rsidP="0011277B">
      <w:pPr>
        <w:spacing w:after="0"/>
        <w:ind w:left="360"/>
        <w:rPr>
          <w:sz w:val="20"/>
          <w:szCs w:val="20"/>
          <w:lang w:val="fr-FR"/>
        </w:rPr>
      </w:pPr>
      <w:r w:rsidRPr="0061407B">
        <w:rPr>
          <w:sz w:val="20"/>
          <w:szCs w:val="20"/>
          <w:lang w:val="fr-FR"/>
        </w:rPr>
        <w:t xml:space="preserve">(1) </w:t>
      </w:r>
      <w:r w:rsidR="00B64A02" w:rsidRPr="0061407B">
        <w:rPr>
          <w:sz w:val="20"/>
          <w:szCs w:val="20"/>
          <w:lang w:val="fr-FR"/>
        </w:rPr>
        <w:t xml:space="preserve">Si les instructions ont été </w:t>
      </w:r>
      <w:r w:rsidR="0061407B" w:rsidRPr="0061407B">
        <w:rPr>
          <w:sz w:val="20"/>
          <w:szCs w:val="20"/>
          <w:lang w:val="fr-FR"/>
        </w:rPr>
        <w:t>données</w:t>
      </w:r>
      <w:r w:rsidR="0011277B" w:rsidRPr="0061407B">
        <w:rPr>
          <w:sz w:val="20"/>
          <w:szCs w:val="20"/>
          <w:lang w:val="fr-FR"/>
        </w:rPr>
        <w:t xml:space="preserve"> ou si </w:t>
      </w:r>
      <w:r w:rsidR="00B64A02" w:rsidRPr="0061407B">
        <w:rPr>
          <w:sz w:val="20"/>
          <w:szCs w:val="20"/>
          <w:lang w:val="fr-FR"/>
        </w:rPr>
        <w:t xml:space="preserve">elles ne l’ont pas été </w:t>
      </w:r>
      <w:r w:rsidR="0011277B" w:rsidRPr="0061407B">
        <w:rPr>
          <w:sz w:val="20"/>
          <w:szCs w:val="20"/>
          <w:lang w:val="fr-FR"/>
        </w:rPr>
        <w:t>dans les 120 jours suivant</w:t>
      </w:r>
      <w:r w:rsidR="00EF1A04" w:rsidRPr="0061407B">
        <w:rPr>
          <w:sz w:val="20"/>
          <w:szCs w:val="20"/>
          <w:lang w:val="fr-FR"/>
        </w:rPr>
        <w:t>s</w:t>
      </w:r>
      <w:r w:rsidR="0011277B" w:rsidRPr="0061407B">
        <w:rPr>
          <w:sz w:val="20"/>
          <w:szCs w:val="20"/>
          <w:lang w:val="fr-FR"/>
        </w:rPr>
        <w:t xml:space="preserve"> la demande du </w:t>
      </w:r>
      <w:r w:rsidR="006A6673" w:rsidRPr="0061407B">
        <w:rPr>
          <w:sz w:val="20"/>
          <w:szCs w:val="20"/>
          <w:lang w:val="fr-FR"/>
        </w:rPr>
        <w:t>récipiendaire</w:t>
      </w:r>
      <w:r w:rsidR="0011277B" w:rsidRPr="0061407B">
        <w:rPr>
          <w:sz w:val="20"/>
          <w:szCs w:val="20"/>
          <w:lang w:val="fr-FR"/>
        </w:rPr>
        <w:t xml:space="preserve">, ce dernier doit vendre le </w:t>
      </w:r>
      <w:r w:rsidR="006A6673" w:rsidRPr="0061407B">
        <w:rPr>
          <w:sz w:val="20"/>
          <w:szCs w:val="20"/>
          <w:lang w:val="fr-FR"/>
        </w:rPr>
        <w:t>matériel</w:t>
      </w:r>
      <w:r w:rsidR="0011277B" w:rsidRPr="0061407B">
        <w:rPr>
          <w:sz w:val="20"/>
          <w:szCs w:val="20"/>
          <w:lang w:val="fr-FR"/>
        </w:rPr>
        <w:t xml:space="preserve"> et rembourser à l'USAID un montant calculé en appliquant au produit de</w:t>
      </w:r>
      <w:r w:rsidR="0061407B" w:rsidRPr="0061407B">
        <w:rPr>
          <w:sz w:val="20"/>
          <w:szCs w:val="20"/>
          <w:lang w:val="fr-FR"/>
        </w:rPr>
        <w:t xml:space="preserve"> la </w:t>
      </w:r>
      <w:r w:rsidR="0011277B" w:rsidRPr="0061407B">
        <w:rPr>
          <w:sz w:val="20"/>
          <w:szCs w:val="20"/>
          <w:lang w:val="fr-FR"/>
        </w:rPr>
        <w:t>vente le pourcentage de participation fédérale au coût du projet origi</w:t>
      </w:r>
      <w:r w:rsidR="0061407B">
        <w:rPr>
          <w:sz w:val="20"/>
          <w:szCs w:val="20"/>
          <w:lang w:val="fr-FR"/>
        </w:rPr>
        <w:t xml:space="preserve">nal ou programme. Toutefois, l’organisme </w:t>
      </w:r>
      <w:r w:rsidR="0011277B" w:rsidRPr="0061407B">
        <w:rPr>
          <w:sz w:val="20"/>
          <w:szCs w:val="20"/>
          <w:lang w:val="fr-FR"/>
        </w:rPr>
        <w:t xml:space="preserve">récipiendaire sera autorisé à déduire et </w:t>
      </w:r>
      <w:r w:rsidR="0061407B" w:rsidRPr="0061407B">
        <w:rPr>
          <w:sz w:val="20"/>
          <w:szCs w:val="20"/>
          <w:lang w:val="fr-FR"/>
        </w:rPr>
        <w:t>faire des retenues</w:t>
      </w:r>
      <w:r w:rsidR="0011277B" w:rsidRPr="0061407B">
        <w:rPr>
          <w:sz w:val="20"/>
          <w:szCs w:val="20"/>
          <w:lang w:val="fr-FR"/>
        </w:rPr>
        <w:t xml:space="preserve"> de la part fédérale 500 dollars </w:t>
      </w:r>
      <w:r w:rsidR="006A6673" w:rsidRPr="0061407B">
        <w:rPr>
          <w:sz w:val="20"/>
          <w:szCs w:val="20"/>
          <w:lang w:val="fr-FR"/>
        </w:rPr>
        <w:t>américains</w:t>
      </w:r>
      <w:r w:rsidR="0011277B" w:rsidRPr="0061407B">
        <w:rPr>
          <w:sz w:val="20"/>
          <w:szCs w:val="20"/>
          <w:lang w:val="fr-FR"/>
        </w:rPr>
        <w:t xml:space="preserve"> ou 10% </w:t>
      </w:r>
      <w:r w:rsidR="0061407B" w:rsidRPr="0061407B">
        <w:rPr>
          <w:sz w:val="20"/>
          <w:szCs w:val="20"/>
          <w:lang w:val="fr-FR"/>
        </w:rPr>
        <w:t>des recettes de vente</w:t>
      </w:r>
      <w:r w:rsidR="0011277B" w:rsidRPr="0061407B">
        <w:rPr>
          <w:sz w:val="20"/>
          <w:szCs w:val="20"/>
          <w:lang w:val="fr-FR"/>
        </w:rPr>
        <w:t xml:space="preserve">, le montant le moins élevé, pour les frais de vente et de manutention du </w:t>
      </w:r>
      <w:r w:rsidR="006A6673" w:rsidRPr="0061407B">
        <w:rPr>
          <w:sz w:val="20"/>
          <w:szCs w:val="20"/>
          <w:lang w:val="fr-FR"/>
        </w:rPr>
        <w:t>récipiendaire</w:t>
      </w:r>
      <w:r w:rsidR="0011277B" w:rsidRPr="0061407B">
        <w:rPr>
          <w:sz w:val="20"/>
          <w:szCs w:val="20"/>
          <w:lang w:val="fr-FR"/>
        </w:rPr>
        <w:t>.</w:t>
      </w:r>
    </w:p>
    <w:p w:rsidR="0011277B" w:rsidRPr="0061407B" w:rsidRDefault="0011277B" w:rsidP="0011277B">
      <w:pPr>
        <w:spacing w:after="0"/>
        <w:ind w:left="360"/>
        <w:rPr>
          <w:sz w:val="20"/>
          <w:szCs w:val="20"/>
          <w:lang w:val="fr-FR"/>
        </w:rPr>
      </w:pPr>
      <w:r w:rsidRPr="0061407B">
        <w:rPr>
          <w:sz w:val="20"/>
          <w:szCs w:val="20"/>
          <w:lang w:val="fr-FR"/>
        </w:rPr>
        <w:t>(2) si l</w:t>
      </w:r>
      <w:r w:rsidR="0061407B" w:rsidRPr="0061407B">
        <w:rPr>
          <w:sz w:val="20"/>
          <w:szCs w:val="20"/>
          <w:lang w:val="fr-FR"/>
        </w:rPr>
        <w:t>’organism</w:t>
      </w:r>
      <w:r w:rsidRPr="0061407B">
        <w:rPr>
          <w:sz w:val="20"/>
          <w:szCs w:val="20"/>
          <w:lang w:val="fr-FR"/>
        </w:rPr>
        <w:t xml:space="preserve">e récipiendaire est chargé d'expédier l'équipement ailleurs, il sera remboursé par le gouvernement fédéral d'un montant qui est calculé en appliquant le pourcentage de la participation du récipiendaire au coût du projet ou du programme initial pour la juste valeur marchande actuelle du </w:t>
      </w:r>
      <w:r w:rsidR="006A6673" w:rsidRPr="0061407B">
        <w:rPr>
          <w:sz w:val="20"/>
          <w:szCs w:val="20"/>
          <w:lang w:val="fr-FR"/>
        </w:rPr>
        <w:t>matériel</w:t>
      </w:r>
      <w:r w:rsidRPr="0061407B">
        <w:rPr>
          <w:sz w:val="20"/>
          <w:szCs w:val="20"/>
          <w:lang w:val="fr-FR"/>
        </w:rPr>
        <w:t>, ainsi que les frais de transport ou de stockage provisoires raisonnables encourus.</w:t>
      </w:r>
    </w:p>
    <w:p w:rsidR="007E3D80" w:rsidRPr="0061407B" w:rsidRDefault="0011277B" w:rsidP="0011277B">
      <w:pPr>
        <w:spacing w:after="0"/>
        <w:ind w:left="360"/>
        <w:rPr>
          <w:sz w:val="20"/>
          <w:szCs w:val="20"/>
          <w:lang w:val="fr-FR"/>
        </w:rPr>
      </w:pPr>
      <w:r w:rsidRPr="0061407B">
        <w:rPr>
          <w:sz w:val="20"/>
          <w:szCs w:val="20"/>
          <w:lang w:val="fr-FR"/>
        </w:rPr>
        <w:t xml:space="preserve">(3) </w:t>
      </w:r>
      <w:r w:rsidR="0061407B" w:rsidRPr="0061407B">
        <w:rPr>
          <w:sz w:val="20"/>
          <w:szCs w:val="20"/>
          <w:lang w:val="fr-FR"/>
        </w:rPr>
        <w:t>Si l’organisme</w:t>
      </w:r>
      <w:r w:rsidRPr="0061407B">
        <w:rPr>
          <w:sz w:val="20"/>
          <w:szCs w:val="20"/>
          <w:lang w:val="fr-FR"/>
        </w:rPr>
        <w:t xml:space="preserve"> </w:t>
      </w:r>
      <w:r w:rsidR="006A6673" w:rsidRPr="0061407B">
        <w:rPr>
          <w:sz w:val="20"/>
          <w:szCs w:val="20"/>
          <w:lang w:val="fr-FR"/>
        </w:rPr>
        <w:t>récipiendaire</w:t>
      </w:r>
      <w:r w:rsidRPr="0061407B">
        <w:rPr>
          <w:sz w:val="20"/>
          <w:szCs w:val="20"/>
          <w:lang w:val="fr-FR"/>
        </w:rPr>
        <w:t xml:space="preserve"> est chargé </w:t>
      </w:r>
      <w:r w:rsidR="0061407B" w:rsidRPr="0061407B">
        <w:rPr>
          <w:sz w:val="20"/>
          <w:szCs w:val="20"/>
          <w:lang w:val="fr-FR"/>
        </w:rPr>
        <w:t>de réformer l’équipement autrement</w:t>
      </w:r>
      <w:r w:rsidRPr="0061407B">
        <w:rPr>
          <w:sz w:val="20"/>
          <w:szCs w:val="20"/>
          <w:lang w:val="fr-FR"/>
        </w:rPr>
        <w:t xml:space="preserve">, il sera remboursé par l'USAID pour les coûts </w:t>
      </w:r>
      <w:r w:rsidR="0061407B" w:rsidRPr="0061407B">
        <w:rPr>
          <w:sz w:val="20"/>
          <w:szCs w:val="20"/>
          <w:lang w:val="fr-FR"/>
        </w:rPr>
        <w:t xml:space="preserve">de l’opération </w:t>
      </w:r>
      <w:r w:rsidRPr="0061407B">
        <w:rPr>
          <w:sz w:val="20"/>
          <w:szCs w:val="20"/>
          <w:lang w:val="fr-FR"/>
        </w:rPr>
        <w:t>encourus</w:t>
      </w:r>
      <w:r w:rsidR="007E3D80" w:rsidRPr="0061407B">
        <w:rPr>
          <w:sz w:val="20"/>
          <w:szCs w:val="20"/>
          <w:lang w:val="fr-FR"/>
        </w:rPr>
        <w:t>.</w:t>
      </w:r>
    </w:p>
    <w:p w:rsidR="006A6673" w:rsidRPr="0061407B" w:rsidRDefault="007E3D80" w:rsidP="006A6673">
      <w:pPr>
        <w:spacing w:after="0"/>
        <w:rPr>
          <w:sz w:val="20"/>
          <w:szCs w:val="20"/>
          <w:lang w:val="fr-FR"/>
        </w:rPr>
      </w:pPr>
      <w:r w:rsidRPr="0061407B">
        <w:rPr>
          <w:sz w:val="20"/>
          <w:szCs w:val="20"/>
          <w:lang w:val="fr-FR"/>
        </w:rPr>
        <w:t>(h</w:t>
      </w:r>
      <w:r w:rsidR="006A6673" w:rsidRPr="0061407B">
        <w:rPr>
          <w:sz w:val="20"/>
          <w:szCs w:val="20"/>
          <w:lang w:val="fr-FR"/>
        </w:rPr>
        <w:t xml:space="preserve">) L'USAID se réserve le droit de transférer le titre </w:t>
      </w:r>
      <w:r w:rsidR="0061407B" w:rsidRPr="0061407B">
        <w:rPr>
          <w:sz w:val="20"/>
          <w:szCs w:val="20"/>
          <w:lang w:val="fr-FR"/>
        </w:rPr>
        <w:t xml:space="preserve">de propriété </w:t>
      </w:r>
      <w:r w:rsidR="006A6673" w:rsidRPr="0061407B">
        <w:rPr>
          <w:sz w:val="20"/>
          <w:szCs w:val="20"/>
          <w:lang w:val="fr-FR"/>
        </w:rPr>
        <w:t xml:space="preserve">au gouvernement fédéral ou à un tiers désigné par le gouvernement fédéral lorsque ce tiers est autrement </w:t>
      </w:r>
      <w:r w:rsidR="0061407B" w:rsidRPr="0061407B">
        <w:rPr>
          <w:sz w:val="20"/>
          <w:szCs w:val="20"/>
          <w:lang w:val="fr-FR"/>
        </w:rPr>
        <w:t xml:space="preserve">éligible </w:t>
      </w:r>
      <w:r w:rsidR="006A6673" w:rsidRPr="0061407B">
        <w:rPr>
          <w:sz w:val="20"/>
          <w:szCs w:val="20"/>
          <w:lang w:val="fr-FR"/>
        </w:rPr>
        <w:t>en vertu des lois existantes. Ce transfert est soumis aux normes suivantes:</w:t>
      </w:r>
    </w:p>
    <w:p w:rsidR="006A6673" w:rsidRPr="0061407B" w:rsidRDefault="006A6673" w:rsidP="006A6673">
      <w:pPr>
        <w:spacing w:after="0"/>
        <w:rPr>
          <w:sz w:val="20"/>
          <w:szCs w:val="20"/>
          <w:lang w:val="fr-FR"/>
        </w:rPr>
      </w:pPr>
      <w:r w:rsidRPr="0061407B">
        <w:rPr>
          <w:sz w:val="20"/>
          <w:szCs w:val="20"/>
          <w:lang w:val="fr-FR"/>
        </w:rPr>
        <w:t>(1) L</w:t>
      </w:r>
      <w:r w:rsidR="0061407B" w:rsidRPr="0061407B">
        <w:rPr>
          <w:sz w:val="20"/>
          <w:szCs w:val="20"/>
          <w:lang w:val="fr-FR"/>
        </w:rPr>
        <w:t xml:space="preserve">’équipement </w:t>
      </w:r>
      <w:r w:rsidRPr="0061407B">
        <w:rPr>
          <w:sz w:val="20"/>
          <w:szCs w:val="20"/>
          <w:lang w:val="fr-FR"/>
        </w:rPr>
        <w:t xml:space="preserve">doit être identifié de façon appropriée dans l'accord de subvention ou </w:t>
      </w:r>
      <w:r w:rsidR="0061407B" w:rsidRPr="0061407B">
        <w:rPr>
          <w:sz w:val="20"/>
          <w:szCs w:val="20"/>
          <w:lang w:val="fr-FR"/>
        </w:rPr>
        <w:t>sinon</w:t>
      </w:r>
      <w:r w:rsidRPr="0061407B">
        <w:rPr>
          <w:sz w:val="20"/>
          <w:szCs w:val="20"/>
          <w:lang w:val="fr-FR"/>
        </w:rPr>
        <w:t xml:space="preserve"> être porté à la connaiss</w:t>
      </w:r>
      <w:r w:rsidR="0061407B" w:rsidRPr="0061407B">
        <w:rPr>
          <w:sz w:val="20"/>
          <w:szCs w:val="20"/>
          <w:lang w:val="fr-FR"/>
        </w:rPr>
        <w:t xml:space="preserve">ance de l’organisme </w:t>
      </w:r>
      <w:r w:rsidRPr="0061407B">
        <w:rPr>
          <w:sz w:val="20"/>
          <w:szCs w:val="20"/>
          <w:lang w:val="fr-FR"/>
        </w:rPr>
        <w:t>récipiendaire par écrit.</w:t>
      </w:r>
    </w:p>
    <w:p w:rsidR="006A6673" w:rsidRPr="0061407B" w:rsidRDefault="006A6673" w:rsidP="006A6673">
      <w:pPr>
        <w:spacing w:after="0"/>
        <w:rPr>
          <w:sz w:val="20"/>
          <w:szCs w:val="20"/>
          <w:lang w:val="fr-FR"/>
        </w:rPr>
      </w:pPr>
      <w:r w:rsidRPr="0061407B">
        <w:rPr>
          <w:sz w:val="20"/>
          <w:szCs w:val="20"/>
          <w:lang w:val="fr-FR"/>
        </w:rPr>
        <w:t xml:space="preserve">(2) L'USAID émettra des instructions </w:t>
      </w:r>
      <w:r w:rsidR="0061407B" w:rsidRPr="0061407B">
        <w:rPr>
          <w:sz w:val="20"/>
          <w:szCs w:val="20"/>
          <w:lang w:val="fr-FR"/>
        </w:rPr>
        <w:t xml:space="preserve">relatives à la réforme </w:t>
      </w:r>
      <w:r w:rsidRPr="0061407B">
        <w:rPr>
          <w:sz w:val="20"/>
          <w:szCs w:val="20"/>
          <w:lang w:val="fr-FR"/>
        </w:rPr>
        <w:t xml:space="preserve">dans les 120 jours </w:t>
      </w:r>
      <w:r w:rsidR="0061407B" w:rsidRPr="0061407B">
        <w:rPr>
          <w:sz w:val="20"/>
          <w:szCs w:val="20"/>
          <w:lang w:val="fr-FR"/>
        </w:rPr>
        <w:t xml:space="preserve">calendaires </w:t>
      </w:r>
      <w:r w:rsidRPr="0061407B">
        <w:rPr>
          <w:sz w:val="20"/>
          <w:szCs w:val="20"/>
          <w:lang w:val="fr-FR"/>
        </w:rPr>
        <w:t>suivant la réception d'un inventaire final. L'inventaire définitif doit énumérer tou</w:t>
      </w:r>
      <w:r w:rsidR="0061407B" w:rsidRPr="0061407B">
        <w:rPr>
          <w:sz w:val="20"/>
          <w:szCs w:val="20"/>
          <w:lang w:val="fr-FR"/>
        </w:rPr>
        <w:t>s les équipements</w:t>
      </w:r>
      <w:r w:rsidRPr="0061407B">
        <w:rPr>
          <w:sz w:val="20"/>
          <w:szCs w:val="20"/>
          <w:lang w:val="fr-FR"/>
        </w:rPr>
        <w:t xml:space="preserve">  acquis avec les fonds de l'accord de subvention et </w:t>
      </w:r>
      <w:r w:rsidR="0061407B" w:rsidRPr="0061407B">
        <w:rPr>
          <w:sz w:val="20"/>
          <w:szCs w:val="20"/>
          <w:lang w:val="fr-FR"/>
        </w:rPr>
        <w:t>ceux</w:t>
      </w:r>
      <w:r w:rsidRPr="0061407B">
        <w:rPr>
          <w:sz w:val="20"/>
          <w:szCs w:val="20"/>
          <w:lang w:val="fr-FR"/>
        </w:rPr>
        <w:t xml:space="preserve"> appartenant au gouvernement fédéral. Si l'USAID omet d'émettre des instructions </w:t>
      </w:r>
      <w:r w:rsidR="0061407B" w:rsidRPr="0061407B">
        <w:rPr>
          <w:sz w:val="20"/>
          <w:szCs w:val="20"/>
          <w:lang w:val="fr-FR"/>
        </w:rPr>
        <w:t xml:space="preserve">relatives à la réforme </w:t>
      </w:r>
      <w:r w:rsidR="0061407B">
        <w:rPr>
          <w:sz w:val="20"/>
          <w:szCs w:val="20"/>
          <w:lang w:val="fr-FR"/>
        </w:rPr>
        <w:t>dans les 120 jours civils, l’organisme récipiendaire doit</w:t>
      </w:r>
      <w:r w:rsidRPr="0061407B">
        <w:rPr>
          <w:sz w:val="20"/>
          <w:szCs w:val="20"/>
          <w:lang w:val="fr-FR"/>
        </w:rPr>
        <w:t xml:space="preserve"> appliquer les normes de </w:t>
      </w:r>
      <w:r w:rsidR="0061407B">
        <w:rPr>
          <w:sz w:val="20"/>
          <w:szCs w:val="20"/>
          <w:lang w:val="fr-FR"/>
        </w:rPr>
        <w:t>la présente</w:t>
      </w:r>
      <w:r w:rsidRPr="0061407B">
        <w:rPr>
          <w:sz w:val="20"/>
          <w:szCs w:val="20"/>
          <w:lang w:val="fr-FR"/>
        </w:rPr>
        <w:t xml:space="preserve"> section, selon le cas.</w:t>
      </w:r>
    </w:p>
    <w:p w:rsidR="007E3D80" w:rsidRPr="0061407B" w:rsidRDefault="006A6673" w:rsidP="006A6673">
      <w:pPr>
        <w:spacing w:after="0"/>
        <w:rPr>
          <w:sz w:val="20"/>
          <w:szCs w:val="20"/>
          <w:lang w:val="fr-FR"/>
        </w:rPr>
      </w:pPr>
      <w:r w:rsidRPr="0061407B">
        <w:rPr>
          <w:sz w:val="20"/>
          <w:szCs w:val="20"/>
          <w:lang w:val="fr-FR"/>
        </w:rPr>
        <w:t xml:space="preserve">(3) Lorsque l'USAID exerce son droit de propriété, </w:t>
      </w:r>
      <w:r w:rsidR="0061407B" w:rsidRPr="0061407B">
        <w:rPr>
          <w:sz w:val="20"/>
          <w:szCs w:val="20"/>
          <w:lang w:val="fr-FR"/>
        </w:rPr>
        <w:t>les équipements doivent</w:t>
      </w:r>
      <w:r w:rsidRPr="0061407B">
        <w:rPr>
          <w:sz w:val="20"/>
          <w:szCs w:val="20"/>
          <w:lang w:val="fr-FR"/>
        </w:rPr>
        <w:t xml:space="preserve"> être soumis aux dispositions relatives aux matériels appartenant au gouvernement fédéral.</w:t>
      </w:r>
    </w:p>
    <w:p w:rsidR="007E3D80" w:rsidRPr="0061407B" w:rsidRDefault="007E3D80" w:rsidP="003E691E">
      <w:pPr>
        <w:spacing w:after="0"/>
        <w:rPr>
          <w:b/>
          <w:sz w:val="20"/>
          <w:szCs w:val="20"/>
          <w:lang w:val="fr-FR"/>
        </w:rPr>
      </w:pPr>
      <w:r w:rsidRPr="0061407B">
        <w:rPr>
          <w:b/>
          <w:sz w:val="20"/>
          <w:szCs w:val="20"/>
          <w:lang w:val="fr-FR"/>
        </w:rPr>
        <w:t>226.35</w:t>
      </w:r>
      <w:r w:rsidR="003E691E" w:rsidRPr="0061407B">
        <w:rPr>
          <w:b/>
          <w:sz w:val="20"/>
          <w:szCs w:val="20"/>
          <w:lang w:val="fr-FR"/>
        </w:rPr>
        <w:t xml:space="preserve">  </w:t>
      </w:r>
      <w:r w:rsidR="0061407B" w:rsidRPr="0061407B">
        <w:rPr>
          <w:b/>
          <w:sz w:val="20"/>
          <w:szCs w:val="20"/>
          <w:lang w:val="fr-FR"/>
        </w:rPr>
        <w:t xml:space="preserve">Fournitures </w:t>
      </w:r>
      <w:r w:rsidR="00427F57" w:rsidRPr="0061407B">
        <w:rPr>
          <w:b/>
          <w:sz w:val="20"/>
          <w:szCs w:val="20"/>
          <w:lang w:val="fr-FR"/>
        </w:rPr>
        <w:t>et autres matériels durables</w:t>
      </w:r>
      <w:r w:rsidRPr="0061407B">
        <w:rPr>
          <w:b/>
          <w:sz w:val="20"/>
          <w:szCs w:val="20"/>
          <w:lang w:val="fr-FR"/>
        </w:rPr>
        <w:t>.</w:t>
      </w:r>
    </w:p>
    <w:p w:rsidR="007E3D80" w:rsidRPr="0061407B" w:rsidRDefault="007E3D80" w:rsidP="003E691E">
      <w:pPr>
        <w:spacing w:after="0"/>
        <w:rPr>
          <w:sz w:val="20"/>
          <w:szCs w:val="20"/>
          <w:lang w:val="fr-FR"/>
        </w:rPr>
      </w:pPr>
      <w:r w:rsidRPr="0061407B">
        <w:rPr>
          <w:sz w:val="20"/>
          <w:szCs w:val="20"/>
          <w:lang w:val="fr-FR"/>
        </w:rPr>
        <w:t xml:space="preserve">(a) </w:t>
      </w:r>
      <w:r w:rsidR="00427F57" w:rsidRPr="0061407B">
        <w:rPr>
          <w:sz w:val="20"/>
          <w:szCs w:val="20"/>
          <w:lang w:val="fr-FR"/>
        </w:rPr>
        <w:t>Le titre des fournitures et autres matériels durables sera dévolu au récipiendaire lors de l'acquisition. S'il existe un stock résiduel de</w:t>
      </w:r>
      <w:r w:rsidR="0061407B" w:rsidRPr="0061407B">
        <w:rPr>
          <w:sz w:val="20"/>
          <w:szCs w:val="20"/>
          <w:lang w:val="fr-FR"/>
        </w:rPr>
        <w:t xml:space="preserve"> fournitures</w:t>
      </w:r>
      <w:r w:rsidR="00427F57" w:rsidRPr="0061407B">
        <w:rPr>
          <w:sz w:val="20"/>
          <w:szCs w:val="20"/>
          <w:lang w:val="fr-FR"/>
        </w:rPr>
        <w:t xml:space="preserve"> inutilisées d'une valeur </w:t>
      </w:r>
      <w:r w:rsidR="0061407B" w:rsidRPr="0061407B">
        <w:rPr>
          <w:sz w:val="20"/>
          <w:szCs w:val="20"/>
          <w:lang w:val="fr-FR"/>
        </w:rPr>
        <w:t xml:space="preserve">cumulée </w:t>
      </w:r>
      <w:r w:rsidR="00427F57" w:rsidRPr="0061407B">
        <w:rPr>
          <w:sz w:val="20"/>
          <w:szCs w:val="20"/>
          <w:lang w:val="fr-FR"/>
        </w:rPr>
        <w:t xml:space="preserve">totale supérieure à 5 000 dollars américains à la fin du programme et </w:t>
      </w:r>
      <w:r w:rsidR="0061407B" w:rsidRPr="0061407B">
        <w:rPr>
          <w:sz w:val="20"/>
          <w:szCs w:val="20"/>
          <w:lang w:val="fr-FR"/>
        </w:rPr>
        <w:t>qu’il n y a pas d’</w:t>
      </w:r>
      <w:r w:rsidR="00427F57" w:rsidRPr="0061407B">
        <w:rPr>
          <w:sz w:val="20"/>
          <w:szCs w:val="20"/>
          <w:lang w:val="fr-FR"/>
        </w:rPr>
        <w:t>autre</w:t>
      </w:r>
      <w:r w:rsidR="0061407B" w:rsidRPr="0061407B">
        <w:rPr>
          <w:sz w:val="20"/>
          <w:szCs w:val="20"/>
          <w:lang w:val="fr-FR"/>
        </w:rPr>
        <w:t>s</w:t>
      </w:r>
      <w:r w:rsidR="00427F57" w:rsidRPr="0061407B">
        <w:rPr>
          <w:sz w:val="20"/>
          <w:szCs w:val="20"/>
          <w:lang w:val="fr-FR"/>
        </w:rPr>
        <w:t xml:space="preserve"> projet ou programme</w:t>
      </w:r>
      <w:r w:rsidR="0061407B" w:rsidRPr="0061407B">
        <w:rPr>
          <w:sz w:val="20"/>
          <w:szCs w:val="20"/>
          <w:lang w:val="fr-FR"/>
        </w:rPr>
        <w:t>s</w:t>
      </w:r>
      <w:r w:rsidR="00427F57" w:rsidRPr="0061407B">
        <w:rPr>
          <w:sz w:val="20"/>
          <w:szCs w:val="20"/>
          <w:lang w:val="fr-FR"/>
        </w:rPr>
        <w:t xml:space="preserve"> parrainé par le gouvernement fédéral</w:t>
      </w:r>
      <w:r w:rsidR="0061407B" w:rsidRPr="0061407B">
        <w:rPr>
          <w:sz w:val="20"/>
          <w:szCs w:val="20"/>
          <w:lang w:val="fr-FR"/>
        </w:rPr>
        <w:t xml:space="preserve"> qui pourraient en avoir besoin</w:t>
      </w:r>
      <w:r w:rsidR="00427F57" w:rsidRPr="0061407B">
        <w:rPr>
          <w:sz w:val="20"/>
          <w:szCs w:val="20"/>
          <w:lang w:val="fr-FR"/>
        </w:rPr>
        <w:t xml:space="preserve">, le récipiendaire doit </w:t>
      </w:r>
      <w:r w:rsidR="0061407B" w:rsidRPr="0061407B">
        <w:rPr>
          <w:sz w:val="20"/>
          <w:szCs w:val="20"/>
          <w:lang w:val="fr-FR"/>
        </w:rPr>
        <w:t xml:space="preserve">les </w:t>
      </w:r>
      <w:r w:rsidR="00427F57" w:rsidRPr="0061407B">
        <w:rPr>
          <w:sz w:val="20"/>
          <w:szCs w:val="20"/>
          <w:lang w:val="fr-FR"/>
        </w:rPr>
        <w:t>conserver pour une utilisation sur des activités non</w:t>
      </w:r>
      <w:r w:rsidR="0061407B" w:rsidRPr="0061407B">
        <w:rPr>
          <w:sz w:val="20"/>
          <w:szCs w:val="20"/>
          <w:lang w:val="fr-FR"/>
        </w:rPr>
        <w:t xml:space="preserve"> parrainées par le gouvernement </w:t>
      </w:r>
      <w:r w:rsidR="00427F57" w:rsidRPr="0061407B">
        <w:rPr>
          <w:sz w:val="20"/>
          <w:szCs w:val="20"/>
          <w:lang w:val="fr-FR"/>
        </w:rPr>
        <w:t>fédérale ou les vendre</w:t>
      </w:r>
      <w:r w:rsidR="0061407B" w:rsidRPr="0061407B">
        <w:rPr>
          <w:sz w:val="20"/>
          <w:szCs w:val="20"/>
          <w:lang w:val="fr-FR"/>
        </w:rPr>
        <w:t xml:space="preserve"> </w:t>
      </w:r>
      <w:r w:rsidR="00427F57" w:rsidRPr="0061407B">
        <w:rPr>
          <w:sz w:val="20"/>
          <w:szCs w:val="20"/>
          <w:lang w:val="fr-FR"/>
        </w:rPr>
        <w:t>mais</w:t>
      </w:r>
      <w:r w:rsidR="0061407B" w:rsidRPr="0061407B">
        <w:rPr>
          <w:sz w:val="20"/>
          <w:szCs w:val="20"/>
          <w:lang w:val="fr-FR"/>
        </w:rPr>
        <w:t xml:space="preserve"> doit</w:t>
      </w:r>
      <w:r w:rsidR="00427F57" w:rsidRPr="0061407B">
        <w:rPr>
          <w:sz w:val="20"/>
          <w:szCs w:val="20"/>
          <w:lang w:val="fr-FR"/>
        </w:rPr>
        <w:t xml:space="preserve">, dans les deux cas, indemniser le gouvernement fédéral pour sa part. Le montant de l'indemnité est calculé </w:t>
      </w:r>
      <w:r w:rsidR="0061407B" w:rsidRPr="0061407B">
        <w:rPr>
          <w:sz w:val="20"/>
          <w:szCs w:val="20"/>
          <w:lang w:val="fr-FR"/>
        </w:rPr>
        <w:t>selon la même méthode</w:t>
      </w:r>
      <w:r w:rsidR="00427F57" w:rsidRPr="0061407B">
        <w:rPr>
          <w:sz w:val="20"/>
          <w:szCs w:val="20"/>
          <w:lang w:val="fr-FR"/>
        </w:rPr>
        <w:t xml:space="preserve"> que pour </w:t>
      </w:r>
      <w:r w:rsidR="0061407B" w:rsidRPr="0061407B">
        <w:rPr>
          <w:sz w:val="20"/>
          <w:szCs w:val="20"/>
          <w:lang w:val="fr-FR"/>
        </w:rPr>
        <w:t>les équipements.</w:t>
      </w:r>
    </w:p>
    <w:sectPr w:rsidR="007E3D80" w:rsidRPr="0061407B" w:rsidSect="003E691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F6" w:rsidRDefault="006171F6" w:rsidP="00D96F88">
      <w:pPr>
        <w:spacing w:before="0" w:after="0"/>
      </w:pPr>
      <w:r>
        <w:separator/>
      </w:r>
    </w:p>
  </w:endnote>
  <w:endnote w:type="continuationSeparator" w:id="0">
    <w:p w:rsidR="006171F6" w:rsidRDefault="006171F6" w:rsidP="00D96F8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165475"/>
      <w:docPartObj>
        <w:docPartGallery w:val="Page Numbers (Bottom of Page)"/>
        <w:docPartUnique/>
      </w:docPartObj>
    </w:sdtPr>
    <w:sdtContent>
      <w:sdt>
        <w:sdtPr>
          <w:id w:val="565050477"/>
          <w:docPartObj>
            <w:docPartGallery w:val="Page Numbers (Top of Page)"/>
            <w:docPartUnique/>
          </w:docPartObj>
        </w:sdtPr>
        <w:sdtContent>
          <w:p w:rsidR="00D7092C" w:rsidRPr="00F06155" w:rsidRDefault="00D7092C">
            <w:pPr>
              <w:pStyle w:val="Footer"/>
              <w:jc w:val="center"/>
            </w:pPr>
            <w:r w:rsidRPr="00F06155">
              <w:t xml:space="preserve">Page </w:t>
            </w:r>
            <w:r w:rsidR="00F000DC" w:rsidRPr="00F06155">
              <w:fldChar w:fldCharType="begin"/>
            </w:r>
            <w:r w:rsidRPr="00F06155">
              <w:instrText xml:space="preserve"> PAGE </w:instrText>
            </w:r>
            <w:r w:rsidR="00F000DC" w:rsidRPr="00F06155">
              <w:fldChar w:fldCharType="separate"/>
            </w:r>
            <w:r w:rsidR="00C17A60">
              <w:rPr>
                <w:noProof/>
              </w:rPr>
              <w:t>2</w:t>
            </w:r>
            <w:r w:rsidR="00F000DC" w:rsidRPr="00F06155">
              <w:fldChar w:fldCharType="end"/>
            </w:r>
            <w:r w:rsidRPr="00F06155">
              <w:t xml:space="preserve"> </w:t>
            </w:r>
            <w:r w:rsidR="00B779BB">
              <w:t>/</w:t>
            </w:r>
            <w:r w:rsidRPr="00F06155">
              <w:t xml:space="preserve"> </w:t>
            </w:r>
            <w:r w:rsidR="00F000DC" w:rsidRPr="00F06155">
              <w:fldChar w:fldCharType="begin"/>
            </w:r>
            <w:r w:rsidRPr="00F06155">
              <w:instrText xml:space="preserve"> NUMPAGES  </w:instrText>
            </w:r>
            <w:r w:rsidR="00F000DC" w:rsidRPr="00F06155">
              <w:fldChar w:fldCharType="separate"/>
            </w:r>
            <w:r w:rsidR="00C17A60">
              <w:rPr>
                <w:noProof/>
              </w:rPr>
              <w:t>3</w:t>
            </w:r>
            <w:r w:rsidR="00F000DC" w:rsidRPr="00F06155">
              <w:fldChar w:fldCharType="end"/>
            </w:r>
          </w:p>
        </w:sdtContent>
      </w:sdt>
    </w:sdtContent>
  </w:sdt>
  <w:p w:rsidR="00D7092C" w:rsidRDefault="00D70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F6" w:rsidRDefault="006171F6" w:rsidP="00D96F88">
      <w:pPr>
        <w:spacing w:before="0" w:after="0"/>
      </w:pPr>
      <w:r>
        <w:separator/>
      </w:r>
    </w:p>
  </w:footnote>
  <w:footnote w:type="continuationSeparator" w:id="0">
    <w:p w:rsidR="006171F6" w:rsidRDefault="006171F6" w:rsidP="00D96F8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88" w:rsidRPr="0061407B" w:rsidRDefault="005C621C" w:rsidP="00D96F88">
    <w:pPr>
      <w:pStyle w:val="Header"/>
      <w:jc w:val="center"/>
      <w:rPr>
        <w:sz w:val="24"/>
        <w:szCs w:val="24"/>
        <w:lang w:val="fr-FR"/>
      </w:rPr>
    </w:pPr>
    <w:r w:rsidRPr="0061407B">
      <w:rPr>
        <w:b/>
        <w:color w:val="237990"/>
        <w:sz w:val="28"/>
        <w:szCs w:val="28"/>
        <w:lang w:val="fr-FR"/>
      </w:rPr>
      <w:t>MOD</w:t>
    </w:r>
    <w:r w:rsidR="00B779BB" w:rsidRPr="0061407B">
      <w:rPr>
        <w:rFonts w:cstheme="minorHAnsi"/>
        <w:b/>
        <w:color w:val="237990"/>
        <w:sz w:val="28"/>
        <w:szCs w:val="28"/>
        <w:lang w:val="fr-FR"/>
      </w:rPr>
      <w:t>È</w:t>
    </w:r>
    <w:r w:rsidRPr="0061407B">
      <w:rPr>
        <w:b/>
        <w:color w:val="237990"/>
        <w:sz w:val="28"/>
        <w:szCs w:val="28"/>
        <w:lang w:val="fr-FR"/>
      </w:rPr>
      <w:t xml:space="preserve">LE de </w:t>
    </w:r>
    <w:r w:rsidR="00B779BB" w:rsidRPr="005C621C">
      <w:rPr>
        <w:b/>
        <w:color w:val="237990"/>
        <w:sz w:val="28"/>
        <w:szCs w:val="28"/>
        <w:lang w:val="fr-FR"/>
      </w:rPr>
      <w:t>r</w:t>
    </w:r>
    <w:r w:rsidR="00B779BB">
      <w:rPr>
        <w:b/>
        <w:color w:val="237990"/>
        <w:sz w:val="28"/>
        <w:szCs w:val="28"/>
        <w:lang w:val="fr-FR"/>
      </w:rPr>
      <w:t>é</w:t>
    </w:r>
    <w:r w:rsidR="00B779BB" w:rsidRPr="005C621C">
      <w:rPr>
        <w:b/>
        <w:color w:val="237990"/>
        <w:sz w:val="28"/>
        <w:szCs w:val="28"/>
        <w:lang w:val="fr-FR"/>
      </w:rPr>
      <w:t>forme</w:t>
    </w:r>
    <w:r w:rsidR="00B779BB" w:rsidRPr="0061407B">
      <w:rPr>
        <w:b/>
        <w:color w:val="237990"/>
        <w:sz w:val="28"/>
        <w:szCs w:val="28"/>
        <w:lang w:val="fr-FR"/>
      </w:rPr>
      <w:t xml:space="preserve"> </w:t>
    </w:r>
    <w:r w:rsidRPr="0061407B">
      <w:rPr>
        <w:b/>
        <w:color w:val="237990"/>
        <w:sz w:val="28"/>
        <w:szCs w:val="28"/>
        <w:lang w:val="fr-FR"/>
      </w:rPr>
      <w:t xml:space="preserve">du </w:t>
    </w:r>
    <w:r w:rsidR="0061407B" w:rsidRPr="0061407B">
      <w:rPr>
        <w:b/>
        <w:color w:val="237990"/>
        <w:sz w:val="28"/>
        <w:szCs w:val="28"/>
        <w:lang w:val="fr-FR"/>
      </w:rPr>
      <w:t>matériel</w:t>
    </w:r>
  </w:p>
  <w:p w:rsidR="00D96F88" w:rsidRPr="0061407B" w:rsidRDefault="00D96F88">
    <w:pPr>
      <w:pStyle w:val="Header"/>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E3D80"/>
    <w:rsid w:val="00026341"/>
    <w:rsid w:val="000B75D5"/>
    <w:rsid w:val="00105A22"/>
    <w:rsid w:val="0011277B"/>
    <w:rsid w:val="00165D64"/>
    <w:rsid w:val="001A3EFD"/>
    <w:rsid w:val="001B3F1F"/>
    <w:rsid w:val="001F1229"/>
    <w:rsid w:val="00210C9A"/>
    <w:rsid w:val="002243F3"/>
    <w:rsid w:val="002305AD"/>
    <w:rsid w:val="00230F56"/>
    <w:rsid w:val="002E0D1A"/>
    <w:rsid w:val="00341B54"/>
    <w:rsid w:val="00371343"/>
    <w:rsid w:val="003E691E"/>
    <w:rsid w:val="00404A18"/>
    <w:rsid w:val="00407BBC"/>
    <w:rsid w:val="00427F57"/>
    <w:rsid w:val="004300B1"/>
    <w:rsid w:val="00436B99"/>
    <w:rsid w:val="004E103B"/>
    <w:rsid w:val="005B721B"/>
    <w:rsid w:val="005C621C"/>
    <w:rsid w:val="0061407B"/>
    <w:rsid w:val="006171F6"/>
    <w:rsid w:val="006A6673"/>
    <w:rsid w:val="007613AC"/>
    <w:rsid w:val="007A0036"/>
    <w:rsid w:val="007E3D80"/>
    <w:rsid w:val="00856A76"/>
    <w:rsid w:val="008C7B80"/>
    <w:rsid w:val="0093557A"/>
    <w:rsid w:val="009513A7"/>
    <w:rsid w:val="00986A7C"/>
    <w:rsid w:val="00A00F47"/>
    <w:rsid w:val="00A05DD7"/>
    <w:rsid w:val="00A16626"/>
    <w:rsid w:val="00A247DF"/>
    <w:rsid w:val="00A56F12"/>
    <w:rsid w:val="00A61817"/>
    <w:rsid w:val="00AD7212"/>
    <w:rsid w:val="00B43B63"/>
    <w:rsid w:val="00B64A02"/>
    <w:rsid w:val="00B779BB"/>
    <w:rsid w:val="00B86958"/>
    <w:rsid w:val="00C17A60"/>
    <w:rsid w:val="00C36F1A"/>
    <w:rsid w:val="00C46880"/>
    <w:rsid w:val="00C832EA"/>
    <w:rsid w:val="00CA502F"/>
    <w:rsid w:val="00CA6E2B"/>
    <w:rsid w:val="00CC693D"/>
    <w:rsid w:val="00CE32EF"/>
    <w:rsid w:val="00CF7C8D"/>
    <w:rsid w:val="00D7092C"/>
    <w:rsid w:val="00D87B8B"/>
    <w:rsid w:val="00D96F88"/>
    <w:rsid w:val="00DC58F0"/>
    <w:rsid w:val="00DF37AE"/>
    <w:rsid w:val="00DF61D2"/>
    <w:rsid w:val="00EA0F20"/>
    <w:rsid w:val="00EA1CBE"/>
    <w:rsid w:val="00EC58DD"/>
    <w:rsid w:val="00EF1A04"/>
    <w:rsid w:val="00F000DC"/>
    <w:rsid w:val="00F06155"/>
    <w:rsid w:val="00F34ADB"/>
    <w:rsid w:val="00F41D2A"/>
    <w:rsid w:val="00F71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table" w:styleId="TableGrid">
    <w:name w:val="Table Grid"/>
    <w:basedOn w:val="TableNormal"/>
    <w:uiPriority w:val="59"/>
    <w:rsid w:val="007E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F88"/>
    <w:pPr>
      <w:tabs>
        <w:tab w:val="center" w:pos="4680"/>
        <w:tab w:val="right" w:pos="9360"/>
      </w:tabs>
      <w:spacing w:before="0" w:after="0"/>
    </w:pPr>
  </w:style>
  <w:style w:type="character" w:customStyle="1" w:styleId="HeaderChar">
    <w:name w:val="Header Char"/>
    <w:basedOn w:val="DefaultParagraphFont"/>
    <w:link w:val="Header"/>
    <w:uiPriority w:val="99"/>
    <w:rsid w:val="00D96F88"/>
  </w:style>
  <w:style w:type="paragraph" w:styleId="Footer">
    <w:name w:val="footer"/>
    <w:basedOn w:val="Normal"/>
    <w:link w:val="FooterChar"/>
    <w:uiPriority w:val="99"/>
    <w:unhideWhenUsed/>
    <w:rsid w:val="00D96F88"/>
    <w:pPr>
      <w:tabs>
        <w:tab w:val="center" w:pos="4680"/>
        <w:tab w:val="right" w:pos="9360"/>
      </w:tabs>
      <w:spacing w:before="0" w:after="0"/>
    </w:pPr>
  </w:style>
  <w:style w:type="character" w:customStyle="1" w:styleId="FooterChar">
    <w:name w:val="Footer Char"/>
    <w:basedOn w:val="DefaultParagraphFont"/>
    <w:link w:val="Footer"/>
    <w:uiPriority w:val="99"/>
    <w:rsid w:val="00D96F88"/>
  </w:style>
  <w:style w:type="paragraph" w:styleId="BalloonText">
    <w:name w:val="Balloon Text"/>
    <w:basedOn w:val="Normal"/>
    <w:link w:val="BalloonTextChar"/>
    <w:uiPriority w:val="99"/>
    <w:semiHidden/>
    <w:unhideWhenUsed/>
    <w:rsid w:val="00D96F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7615</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4</cp:revision>
  <cp:lastPrinted>2016-04-06T16:35:00Z</cp:lastPrinted>
  <dcterms:created xsi:type="dcterms:W3CDTF">2018-01-29T21:53:00Z</dcterms:created>
  <dcterms:modified xsi:type="dcterms:W3CDTF">2018-02-05T22:07:00Z</dcterms:modified>
</cp:coreProperties>
</file>