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DD" w:rsidRPr="00AD01B8" w:rsidRDefault="00FA3ADD" w:rsidP="00AD01B8">
      <w:pPr>
        <w:spacing w:after="200" w:line="25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 transitaire est un tiers qui facilite la réception, le dédouanement et la livraison à l'Organisme </w:t>
      </w:r>
      <w:r w:rsidR="00B81A5E">
        <w:rPr>
          <w:rFonts w:ascii="Calibri" w:hAnsi="Calibri"/>
          <w:sz w:val="22"/>
          <w:szCs w:val="22"/>
        </w:rPr>
        <w:t xml:space="preserve">bénéficiaire </w:t>
      </w:r>
      <w:r>
        <w:rPr>
          <w:rFonts w:ascii="Calibri" w:hAnsi="Calibri"/>
          <w:sz w:val="22"/>
          <w:szCs w:val="22"/>
        </w:rPr>
        <w:t xml:space="preserve"> de cargaisons acheminées par fret international vers les destinations désignées.  Cette liste de contrôle fournit l</w:t>
      </w:r>
      <w:r w:rsidR="00B81A5E">
        <w:rPr>
          <w:rFonts w:ascii="Calibri" w:hAnsi="Calibri"/>
          <w:sz w:val="22"/>
          <w:szCs w:val="22"/>
        </w:rPr>
        <w:t>e minimum d’</w:t>
      </w:r>
      <w:r>
        <w:rPr>
          <w:rFonts w:ascii="Calibri" w:hAnsi="Calibri"/>
          <w:sz w:val="22"/>
          <w:szCs w:val="22"/>
        </w:rPr>
        <w:t>information</w:t>
      </w:r>
      <w:r w:rsidR="00B81A5E">
        <w:rPr>
          <w:rFonts w:ascii="Calibri" w:hAnsi="Calibri"/>
          <w:sz w:val="22"/>
          <w:szCs w:val="22"/>
        </w:rPr>
        <w:t xml:space="preserve">s </w:t>
      </w:r>
      <w:r>
        <w:rPr>
          <w:rFonts w:ascii="Calibri" w:hAnsi="Calibri"/>
          <w:sz w:val="22"/>
          <w:szCs w:val="22"/>
        </w:rPr>
        <w:t>requise</w:t>
      </w:r>
      <w:r w:rsidR="00B81A5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pour préparer les documents d'appel d'offres pour la passation de marchés de services avec un transitaire.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8595"/>
      </w:tblGrid>
      <w:tr w:rsidR="00FC37EE" w:rsidRPr="00AD01B8" w:rsidTr="00FC37EE">
        <w:tc>
          <w:tcPr>
            <w:tcW w:w="9243" w:type="dxa"/>
            <w:gridSpan w:val="2"/>
          </w:tcPr>
          <w:p w:rsidR="00FC37EE" w:rsidRPr="00AD01B8" w:rsidRDefault="00FC37EE" w:rsidP="00255D4A">
            <w:pPr>
              <w:spacing w:after="60"/>
              <w:rPr>
                <w:rFonts w:ascii="Calibri" w:eastAsiaTheme="minorHAnsi" w:hAnsi="Calibri" w:cstheme="minorBidi"/>
                <w:color w:val="237990"/>
              </w:rPr>
            </w:pPr>
            <w:r>
              <w:rPr>
                <w:rFonts w:ascii="Calibri" w:hAnsi="Calibri"/>
                <w:b/>
                <w:color w:val="237990"/>
              </w:rPr>
              <w:t>Qualifications recommandées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BF4239" w:rsidP="00BF4239">
            <w:pPr>
              <w:tabs>
                <w:tab w:val="left" w:pos="-720"/>
              </w:tabs>
              <w:spacing w:before="120" w:after="40"/>
              <w:rPr>
                <w:rFonts w:ascii="Calibri" w:eastAsiaTheme="minorHAnsi" w:hAnsi="Calibri" w:cs="Arial"/>
                <w:spacing w:val="-3"/>
              </w:rPr>
            </w:pPr>
            <w:r>
              <w:rPr>
                <w:rFonts w:ascii="Calibri" w:hAnsi="Calibri" w:cs="Calibri"/>
                <w:color w:val="000000"/>
              </w:rPr>
              <w:t>Ê</w:t>
            </w:r>
            <w:r w:rsidR="00B81A5E">
              <w:rPr>
                <w:rFonts w:ascii="Calibri" w:hAnsi="Calibri"/>
                <w:color w:val="000000"/>
              </w:rPr>
              <w:t>tre a</w:t>
            </w:r>
            <w:r w:rsidR="00FA3ADD">
              <w:rPr>
                <w:rFonts w:ascii="Calibri" w:hAnsi="Calibri"/>
                <w:color w:val="000000"/>
              </w:rPr>
              <w:t xml:space="preserve">utorisé par le gouvernement local </w:t>
            </w:r>
            <w:r w:rsidR="000C0FBA">
              <w:rPr>
                <w:rFonts w:ascii="Calibri" w:hAnsi="Calibri"/>
                <w:color w:val="000000"/>
              </w:rPr>
              <w:t>à</w:t>
            </w:r>
            <w:r w:rsidR="00FA3ADD">
              <w:rPr>
                <w:rFonts w:ascii="Calibri" w:hAnsi="Calibri"/>
                <w:color w:val="000000"/>
              </w:rPr>
              <w:t xml:space="preserve"> effectuer les formalités de dédouanement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BF4239" w:rsidP="00BF4239">
            <w:pPr>
              <w:tabs>
                <w:tab w:val="left" w:pos="-720"/>
              </w:tabs>
              <w:spacing w:before="120" w:after="40"/>
              <w:rPr>
                <w:rFonts w:ascii="Calibri" w:eastAsiaTheme="minorHAnsi" w:hAnsi="Calibri" w:cs="Arial"/>
                <w:spacing w:val="-3"/>
              </w:rPr>
            </w:pPr>
            <w:r>
              <w:rPr>
                <w:rFonts w:ascii="Calibri" w:hAnsi="Calibri" w:cs="Calibri"/>
                <w:color w:val="000000"/>
              </w:rPr>
              <w:t>Ê</w:t>
            </w:r>
            <w:r w:rsidR="00B81A5E">
              <w:rPr>
                <w:rFonts w:ascii="Calibri" w:hAnsi="Calibri"/>
                <w:color w:val="000000"/>
              </w:rPr>
              <w:t xml:space="preserve">tre au fait de </w:t>
            </w:r>
            <w:r w:rsidR="00FA3ADD">
              <w:rPr>
                <w:rFonts w:ascii="Calibri" w:hAnsi="Calibri"/>
                <w:color w:val="000000"/>
              </w:rPr>
              <w:t xml:space="preserve"> </w:t>
            </w:r>
            <w:r w:rsidR="000C0FBA">
              <w:rPr>
                <w:rFonts w:ascii="Calibri" w:hAnsi="Calibri"/>
                <w:color w:val="000000"/>
              </w:rPr>
              <w:t>tout changement relatif</w:t>
            </w:r>
            <w:r w:rsidR="00B81A5E">
              <w:rPr>
                <w:rFonts w:ascii="Calibri" w:hAnsi="Calibri"/>
                <w:color w:val="000000"/>
              </w:rPr>
              <w:t xml:space="preserve"> aux normes</w:t>
            </w:r>
            <w:r w:rsidR="00FA3ADD">
              <w:rPr>
                <w:rFonts w:ascii="Calibri" w:hAnsi="Calibri"/>
                <w:color w:val="000000"/>
              </w:rPr>
              <w:t xml:space="preserve"> douanières du gouvernement hôte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BF4239" w:rsidP="00B81A5E">
            <w:pPr>
              <w:spacing w:before="120" w:after="40"/>
              <w:rPr>
                <w:rFonts w:ascii="Calibri" w:eastAsiaTheme="minorHAnsi" w:hAnsi="Calibri" w:cs="Arial"/>
              </w:rPr>
            </w:pPr>
            <w:r>
              <w:rPr>
                <w:rFonts w:ascii="Calibri" w:hAnsi="Calibri"/>
                <w:color w:val="000000"/>
              </w:rPr>
              <w:t>Connaître</w:t>
            </w:r>
            <w:r w:rsidR="00B81A5E">
              <w:rPr>
                <w:rFonts w:ascii="Calibri" w:hAnsi="Calibri"/>
                <w:color w:val="000000"/>
              </w:rPr>
              <w:t xml:space="preserve"> l</w:t>
            </w:r>
            <w:r w:rsidR="00FA3ADD">
              <w:rPr>
                <w:rFonts w:ascii="Calibri" w:hAnsi="Calibri"/>
                <w:color w:val="000000"/>
              </w:rPr>
              <w:t>es règles et réglementations locales concernant les cargaisons de l’USAID / FFP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FA3ADD" w:rsidP="001629C4">
            <w:pPr>
              <w:spacing w:before="120"/>
              <w:rPr>
                <w:rFonts w:ascii="Calibri" w:eastAsiaTheme="minorHAnsi" w:hAnsi="Calibri" w:cstheme="minorBidi"/>
                <w:b/>
              </w:rPr>
            </w:pPr>
            <w:r>
              <w:rPr>
                <w:rFonts w:ascii="Calibri" w:hAnsi="Calibri"/>
                <w:color w:val="000000"/>
              </w:rPr>
              <w:t>Capable d'utiliser efficacement la technologie, y compris un bon système de télécommunications et d'un système de suivi informatisé qui permet de localiser l'expédition à tout moment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B81A5E" w:rsidP="00B81A5E">
            <w:pPr>
              <w:tabs>
                <w:tab w:val="num" w:pos="1008"/>
              </w:tabs>
              <w:spacing w:before="120"/>
              <w:rPr>
                <w:rFonts w:ascii="Calibri" w:eastAsiaTheme="minorHAnsi" w:hAnsi="Calibri" w:cs="Arial"/>
              </w:rPr>
            </w:pPr>
            <w:r>
              <w:rPr>
                <w:rFonts w:ascii="Calibri" w:hAnsi="Calibri"/>
                <w:color w:val="000000"/>
              </w:rPr>
              <w:t>Fournir des r</w:t>
            </w:r>
            <w:r w:rsidR="00FA3ADD">
              <w:rPr>
                <w:rFonts w:ascii="Calibri" w:hAnsi="Calibri"/>
                <w:color w:val="000000"/>
              </w:rPr>
              <w:t>éférences d'autres parties (de préférence des ONG) ayant utilisé leurs services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FA3ADD" w:rsidP="00255D4A">
            <w:pPr>
              <w:tabs>
                <w:tab w:val="num" w:pos="1008"/>
              </w:tabs>
              <w:spacing w:before="120" w:after="40"/>
              <w:rPr>
                <w:rFonts w:ascii="Calibri" w:eastAsiaTheme="minorHAnsi" w:hAnsi="Calibri" w:cs="Arial"/>
              </w:rPr>
            </w:pPr>
            <w:r>
              <w:rPr>
                <w:rFonts w:ascii="Calibri" w:hAnsi="Calibri"/>
                <w:color w:val="000000"/>
              </w:rPr>
              <w:t>Posséder ou avoir accès à un entrepôt de stockage pour protéger et contrôler la cargaison en transit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FA3ADD" w:rsidP="001629C4">
            <w:pPr>
              <w:tabs>
                <w:tab w:val="num" w:pos="1008"/>
              </w:tabs>
              <w:spacing w:before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Capable de fournir </w:t>
            </w:r>
            <w:r w:rsidR="00B81A5E">
              <w:rPr>
                <w:rFonts w:ascii="Calibri" w:hAnsi="Calibri"/>
                <w:color w:val="000000"/>
              </w:rPr>
              <w:t xml:space="preserve">un </w:t>
            </w:r>
            <w:r w:rsidR="000C0FBA">
              <w:rPr>
                <w:rFonts w:ascii="Calibri" w:hAnsi="Calibri"/>
                <w:color w:val="000000"/>
              </w:rPr>
              <w:t>éventail</w:t>
            </w:r>
            <w:r w:rsidR="00B81A5E">
              <w:rPr>
                <w:rFonts w:ascii="Calibri" w:hAnsi="Calibri"/>
                <w:color w:val="000000"/>
              </w:rPr>
              <w:t xml:space="preserve"> de</w:t>
            </w:r>
            <w:r>
              <w:rPr>
                <w:rFonts w:ascii="Calibri" w:hAnsi="Calibri"/>
                <w:color w:val="000000"/>
              </w:rPr>
              <w:t xml:space="preserve"> services (tels que le dédouanement du fret maritime et aérien, le </w:t>
            </w:r>
            <w:r w:rsidR="000C0FBA">
              <w:rPr>
                <w:rFonts w:ascii="Calibri" w:hAnsi="Calibri"/>
                <w:color w:val="000000"/>
              </w:rPr>
              <w:t>remballage</w:t>
            </w:r>
            <w:r>
              <w:rPr>
                <w:rFonts w:ascii="Calibri" w:hAnsi="Calibri"/>
                <w:color w:val="000000"/>
              </w:rPr>
              <w:t xml:space="preserve"> de la cargaison endommagée et le courtage en transport)</w:t>
            </w:r>
          </w:p>
          <w:p w:rsidR="00044D0E" w:rsidRPr="00AD01B8" w:rsidRDefault="00044D0E" w:rsidP="000C0FBA">
            <w:pPr>
              <w:tabs>
                <w:tab w:val="num" w:pos="1008"/>
              </w:tabs>
              <w:spacing w:before="120"/>
              <w:rPr>
                <w:rFonts w:ascii="Calibri" w:eastAsiaTheme="minorHAnsi" w:hAnsi="Calibri" w:cs="Arial"/>
              </w:rPr>
            </w:pPr>
            <w:r>
              <w:rPr>
                <w:rFonts w:ascii="Calibri" w:hAnsi="Calibri"/>
                <w:color w:val="000000"/>
              </w:rPr>
              <w:t xml:space="preserve">Remarque : </w:t>
            </w:r>
            <w:r>
              <w:rPr>
                <w:rFonts w:ascii="Calibri" w:hAnsi="Calibri"/>
              </w:rPr>
              <w:t xml:space="preserve">Dans certains cas, les transitaires peuvent agir en tant que courtiers de transport pour </w:t>
            </w:r>
            <w:r w:rsidR="00B81A5E">
              <w:rPr>
                <w:rFonts w:ascii="Calibri" w:hAnsi="Calibri"/>
              </w:rPr>
              <w:t xml:space="preserve">louer </w:t>
            </w:r>
            <w:r>
              <w:rPr>
                <w:rFonts w:ascii="Calibri" w:hAnsi="Calibri"/>
              </w:rPr>
              <w:t xml:space="preserve">des camions </w:t>
            </w:r>
            <w:r w:rsidR="00B81A5E">
              <w:rPr>
                <w:rFonts w:ascii="Calibri" w:hAnsi="Calibri"/>
              </w:rPr>
              <w:t>appartenant à</w:t>
            </w:r>
            <w:r w:rsidR="000C0FB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un certain nombre de propriétaires individuels et offrir un service de transport terrestre </w:t>
            </w:r>
            <w:r w:rsidR="00B81A5E">
              <w:rPr>
                <w:rFonts w:ascii="Calibri" w:hAnsi="Calibri"/>
              </w:rPr>
              <w:t>à l’organisme bénéficiaire</w:t>
            </w:r>
            <w:r>
              <w:rPr>
                <w:rFonts w:ascii="Calibri" w:hAnsi="Calibri"/>
              </w:rPr>
              <w:t xml:space="preserve"> sur la base d'un «coût par tonne livrée».  </w:t>
            </w:r>
          </w:p>
        </w:tc>
      </w:tr>
      <w:tr w:rsidR="00FC37EE" w:rsidRPr="00AD01B8" w:rsidTr="00FC37EE">
        <w:tc>
          <w:tcPr>
            <w:tcW w:w="9243" w:type="dxa"/>
            <w:gridSpan w:val="2"/>
          </w:tcPr>
          <w:p w:rsidR="00FC37EE" w:rsidRPr="001629C4" w:rsidRDefault="00FC37EE" w:rsidP="00255D4A">
            <w:pPr>
              <w:spacing w:before="200" w:after="60"/>
              <w:rPr>
                <w:rFonts w:ascii="Calibri" w:hAnsi="Calibri" w:cs="Arial"/>
                <w:b/>
                <w:color w:val="237990"/>
              </w:rPr>
            </w:pPr>
            <w:r>
              <w:rPr>
                <w:rFonts w:ascii="Calibri" w:hAnsi="Calibri"/>
                <w:b/>
                <w:color w:val="237990"/>
              </w:rPr>
              <w:t>Tâches spécifiques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B81A5E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Assurer la liaison avec l'inspecteur indépendant, l'agent </w:t>
            </w:r>
            <w:r w:rsidR="00B81A5E">
              <w:rPr>
                <w:rFonts w:ascii="Calibri" w:hAnsi="Calibri"/>
              </w:rPr>
              <w:t>de l’armateur</w:t>
            </w:r>
            <w:r>
              <w:rPr>
                <w:rFonts w:ascii="Calibri" w:hAnsi="Calibri"/>
              </w:rPr>
              <w:t xml:space="preserve">, les autorités portuaires et les </w:t>
            </w:r>
            <w:r w:rsidR="00B81A5E">
              <w:rPr>
                <w:rFonts w:ascii="Calibri" w:hAnsi="Calibri"/>
              </w:rPr>
              <w:t>départements gouvernements</w:t>
            </w:r>
            <w:r>
              <w:rPr>
                <w:rFonts w:ascii="Calibri" w:hAnsi="Calibri"/>
              </w:rPr>
              <w:t xml:space="preserve"> pour un bon fonctionnement</w:t>
            </w:r>
            <w:r w:rsidR="00B81A5E">
              <w:rPr>
                <w:rFonts w:ascii="Calibri" w:hAnsi="Calibri"/>
              </w:rPr>
              <w:t xml:space="preserve"> de l’</w:t>
            </w:r>
            <w:r w:rsidR="000C0FBA">
              <w:rPr>
                <w:rFonts w:ascii="Calibri" w:hAnsi="Calibri"/>
              </w:rPr>
              <w:t>opération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Traiter tous les documents nécessaires pour décharger la cargaison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Payer les frais de port et les licences d'importation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B81A5E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Obtenir les dédouanements et les timbres nécessaires; faciliter les dispositions d'</w:t>
            </w:r>
            <w:r w:rsidR="000C0FBA">
              <w:rPr>
                <w:rFonts w:ascii="Calibri" w:hAnsi="Calibri"/>
              </w:rPr>
              <w:t>exonération</w:t>
            </w:r>
            <w:r>
              <w:rPr>
                <w:rFonts w:ascii="Calibri" w:hAnsi="Calibri"/>
              </w:rPr>
              <w:t xml:space="preserve"> de </w:t>
            </w:r>
            <w:r w:rsidR="00B81A5E">
              <w:rPr>
                <w:rFonts w:ascii="Calibri" w:hAnsi="Calibri"/>
              </w:rPr>
              <w:t>droits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Vérifier l'arrivée de la cargaison dans le port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Surveiller les opérations de déchargement, de stockage et de chargement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Inspecter les colis d'expédition pour les dommages visibles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eastAsiaTheme="minorHAnsi" w:hAnsi="Calibri" w:cs="Arial"/>
                <w:bCs/>
              </w:rPr>
            </w:pPr>
            <w:r>
              <w:rPr>
                <w:rFonts w:ascii="Calibri" w:hAnsi="Calibri"/>
                <w:color w:val="000000"/>
              </w:rPr>
              <w:t>Peser un échantillon de cargaison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0C0FB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Recruter, former et superviser les </w:t>
            </w:r>
            <w:r w:rsidR="000C0FBA">
              <w:rPr>
                <w:rFonts w:ascii="Calibri" w:hAnsi="Calibri"/>
              </w:rPr>
              <w:t>ouvriers pour</w:t>
            </w:r>
            <w:r>
              <w:rPr>
                <w:rFonts w:ascii="Calibri" w:hAnsi="Calibri"/>
              </w:rPr>
              <w:t xml:space="preserve"> le reconditionnement de la cargaison endommagée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Documenter tous les dommages ou pertes à la cargaison 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B81A5E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Faciliter le transport de la cargaison depuis le navire (ou les hangars de transit portuaires) jusqu'au (x) entrepôt (s) </w:t>
            </w:r>
            <w:r w:rsidR="00B81A5E">
              <w:rPr>
                <w:rFonts w:ascii="Calibri" w:hAnsi="Calibri"/>
              </w:rPr>
              <w:t xml:space="preserve">de l’organisme </w:t>
            </w:r>
            <w:r w:rsidR="000C0FBA">
              <w:rPr>
                <w:rFonts w:ascii="Calibri" w:hAnsi="Calibri"/>
              </w:rPr>
              <w:t>bénéficiaire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1629C4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Recruter, former et superviser les </w:t>
            </w:r>
            <w:r w:rsidR="000C0FBA">
              <w:rPr>
                <w:rFonts w:ascii="Calibri" w:hAnsi="Calibri"/>
              </w:rPr>
              <w:t>ouvriers</w:t>
            </w:r>
            <w:r>
              <w:rPr>
                <w:rFonts w:ascii="Calibri" w:hAnsi="Calibri"/>
              </w:rPr>
              <w:t xml:space="preserve"> pour le transfert de marchandises vers les camions (ou les wagons) pour le transport terrestre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0C0FB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Documenter tous les mouvements de la cargaison avec des lettres </w:t>
            </w:r>
            <w:r w:rsidR="000C0FBA">
              <w:rPr>
                <w:rFonts w:ascii="Calibri" w:hAnsi="Calibri"/>
              </w:rPr>
              <w:t xml:space="preserve">de transport </w:t>
            </w:r>
            <w:r>
              <w:rPr>
                <w:rFonts w:ascii="Calibri" w:hAnsi="Calibri"/>
              </w:rPr>
              <w:t xml:space="preserve"> et des rapports d'expédition quotidiens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0C0FBA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Soumettre </w:t>
            </w:r>
            <w:r w:rsidR="000C0FBA">
              <w:rPr>
                <w:rFonts w:ascii="Calibri" w:hAnsi="Calibri"/>
              </w:rPr>
              <w:t>à l’organisme bénéficiaire</w:t>
            </w:r>
            <w:r>
              <w:rPr>
                <w:rFonts w:ascii="Calibri" w:hAnsi="Calibri"/>
              </w:rPr>
              <w:t xml:space="preserve"> des copies de toutes les factures portuaires pour les droits de débarquement, l'entrepôt portuaire, le stockage et les frais de main-d'œuvre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0C0FB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Soumettre </w:t>
            </w:r>
            <w:r w:rsidR="00C30607">
              <w:rPr>
                <w:rFonts w:ascii="Calibri" w:hAnsi="Calibri"/>
              </w:rPr>
              <w:t>à l’organisme bénéficiaire des copies des bulletins</w:t>
            </w:r>
            <w:r>
              <w:rPr>
                <w:rFonts w:ascii="Calibri" w:hAnsi="Calibri"/>
              </w:rPr>
              <w:t xml:space="preserve"> signés pour le</w:t>
            </w:r>
            <w:r w:rsidR="000C0FBA">
              <w:rPr>
                <w:rFonts w:ascii="Calibri" w:hAnsi="Calibri"/>
              </w:rPr>
              <w:t xml:space="preserve"> paiement des salaires des ouvriers</w:t>
            </w:r>
          </w:p>
        </w:tc>
      </w:tr>
      <w:tr w:rsidR="00FC37EE" w:rsidRPr="00AD01B8" w:rsidTr="00FC37EE">
        <w:tc>
          <w:tcPr>
            <w:tcW w:w="9243" w:type="dxa"/>
            <w:gridSpan w:val="2"/>
          </w:tcPr>
          <w:p w:rsidR="00FC37EE" w:rsidRPr="001629C4" w:rsidRDefault="00FC37EE" w:rsidP="00255D4A">
            <w:pPr>
              <w:spacing w:before="200" w:after="60"/>
              <w:rPr>
                <w:rFonts w:ascii="Calibri" w:eastAsiaTheme="minorHAnsi" w:hAnsi="Calibri" w:cs="Arial"/>
                <w:color w:val="237990"/>
              </w:rPr>
            </w:pPr>
            <w:r>
              <w:rPr>
                <w:rFonts w:ascii="Calibri" w:hAnsi="Calibri"/>
                <w:b/>
                <w:color w:val="237990"/>
              </w:rPr>
              <w:t>Clauses à inclure dans le contrat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0C0FB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Nom (s) et titre (s) du membre du personnel d</w:t>
            </w:r>
            <w:r w:rsidR="000C0FBA">
              <w:rPr>
                <w:rFonts w:ascii="Calibri" w:hAnsi="Calibri"/>
              </w:rPr>
              <w:t xml:space="preserve">e l’organisme bénéficiaire à qui </w:t>
            </w:r>
            <w:r>
              <w:rPr>
                <w:rFonts w:ascii="Calibri" w:hAnsi="Calibri"/>
              </w:rPr>
              <w:t xml:space="preserve"> l'agent </w:t>
            </w:r>
            <w:r w:rsidR="000C0FBA">
              <w:rPr>
                <w:rFonts w:ascii="Calibri" w:hAnsi="Calibri"/>
              </w:rPr>
              <w:t>doit rendre compte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0C0FB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Droit de sous-traiter uniquement avec l'approbation </w:t>
            </w:r>
            <w:r w:rsidR="000C0FBA">
              <w:rPr>
                <w:rFonts w:ascii="Calibri" w:hAnsi="Calibri"/>
              </w:rPr>
              <w:t>de l’organisme bénéficiaire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655308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Normes de déchargement et d'expédition jusqu'à la distribution finale, en particulier sur un connaissement direct 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0C0FBA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La responsabilité de livrer </w:t>
            </w:r>
            <w:r w:rsidR="000C0FBA">
              <w:rPr>
                <w:rFonts w:ascii="Calibri" w:hAnsi="Calibri"/>
              </w:rPr>
              <w:t>la totalité de</w:t>
            </w:r>
            <w:r>
              <w:rPr>
                <w:rFonts w:ascii="Calibri" w:hAnsi="Calibri"/>
              </w:rPr>
              <w:t xml:space="preserve"> l'expédition, selon le décompte</w:t>
            </w:r>
            <w:r w:rsidR="000C0FBA">
              <w:rPr>
                <w:rFonts w:ascii="Calibri" w:hAnsi="Calibri"/>
              </w:rPr>
              <w:t xml:space="preserve"> du déchargement</w:t>
            </w:r>
            <w:r>
              <w:rPr>
                <w:rFonts w:ascii="Calibri" w:hAnsi="Calibri"/>
              </w:rPr>
              <w:t xml:space="preserve">, </w:t>
            </w:r>
            <w:r w:rsidR="000C0FBA">
              <w:rPr>
                <w:rFonts w:ascii="Calibri" w:hAnsi="Calibri"/>
              </w:rPr>
              <w:t xml:space="preserve">au lieu </w:t>
            </w:r>
            <w:r>
              <w:rPr>
                <w:rFonts w:ascii="Calibri" w:hAnsi="Calibri"/>
              </w:rPr>
              <w:t xml:space="preserve"> désigné </w:t>
            </w:r>
            <w:r w:rsidR="000C0FBA">
              <w:rPr>
                <w:rFonts w:ascii="Calibri" w:hAnsi="Calibri"/>
              </w:rPr>
              <w:t>par l’organisme bénéficiaire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0C0FBA" w:rsidP="000C0FBA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Capacité du fournisseur à offrir une police d’assurance pour la couverture des</w:t>
            </w:r>
            <w:r w:rsidR="00BE3EB8">
              <w:rPr>
                <w:rFonts w:ascii="Calibri" w:hAnsi="Calibri"/>
              </w:rPr>
              <w:t xml:space="preserve"> pertes et / ou, le cas éc</w:t>
            </w:r>
            <w:bookmarkStart w:id="0" w:name="_GoBack"/>
            <w:bookmarkEnd w:id="0"/>
            <w:r w:rsidR="00BE3EB8">
              <w:rPr>
                <w:rFonts w:ascii="Calibri" w:hAnsi="Calibri"/>
              </w:rPr>
              <w:t xml:space="preserve">héant, </w:t>
            </w:r>
            <w:r>
              <w:rPr>
                <w:rFonts w:ascii="Calibri" w:hAnsi="Calibri"/>
              </w:rPr>
              <w:t xml:space="preserve">versement </w:t>
            </w:r>
            <w:r w:rsidR="00BE3EB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d’une caution </w:t>
            </w:r>
            <w:r w:rsidR="00BE3EB8">
              <w:rPr>
                <w:rFonts w:ascii="Calibri" w:hAnsi="Calibri"/>
              </w:rPr>
              <w:t>d'exécution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0C0FB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Temps maximum autorisé pour </w:t>
            </w:r>
            <w:r w:rsidR="000C0FBA">
              <w:rPr>
                <w:rFonts w:ascii="Calibri" w:hAnsi="Calibri"/>
              </w:rPr>
              <w:t>fournir l</w:t>
            </w:r>
            <w:r>
              <w:rPr>
                <w:rFonts w:ascii="Calibri" w:hAnsi="Calibri"/>
              </w:rPr>
              <w:t xml:space="preserve">es services </w:t>
            </w:r>
            <w:r w:rsidR="000C0FBA">
              <w:rPr>
                <w:rFonts w:ascii="Calibri" w:hAnsi="Calibri"/>
              </w:rPr>
              <w:t>spécifiés dans le contrat</w:t>
            </w:r>
            <w:r>
              <w:rPr>
                <w:rFonts w:ascii="Calibri" w:hAnsi="Calibri"/>
              </w:rPr>
              <w:t xml:space="preserve"> (pour éviter les surestaries)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255D4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Provision pour force majeure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255D4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Pénalité pour non-exécution (tels que le retard de livraison)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0C0FB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Dispositions pour le règlement des</w:t>
            </w:r>
            <w:r w:rsidR="000C0FBA">
              <w:rPr>
                <w:rFonts w:ascii="Calibri" w:hAnsi="Calibri"/>
              </w:rPr>
              <w:t xml:space="preserve"> litiges</w:t>
            </w:r>
            <w:r>
              <w:rPr>
                <w:rFonts w:ascii="Calibri" w:hAnsi="Calibri"/>
              </w:rPr>
              <w:t>, l</w:t>
            </w:r>
            <w:r w:rsidR="000C0FBA">
              <w:rPr>
                <w:rFonts w:ascii="Calibri" w:hAnsi="Calibri"/>
              </w:rPr>
              <w:t>e respect des termes du</w:t>
            </w:r>
            <w:r>
              <w:rPr>
                <w:rFonts w:ascii="Calibri" w:hAnsi="Calibri"/>
              </w:rPr>
              <w:t xml:space="preserve"> contrat et le paiement des dommages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0C0FBA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Modalités de paiement (exiger que</w:t>
            </w:r>
            <w:r w:rsidR="000C0FBA">
              <w:rPr>
                <w:rFonts w:ascii="Calibri" w:hAnsi="Calibri"/>
              </w:rPr>
              <w:t xml:space="preserve"> le fournisseur</w:t>
            </w:r>
            <w:r>
              <w:rPr>
                <w:rFonts w:ascii="Calibri" w:hAnsi="Calibri"/>
              </w:rPr>
              <w:t xml:space="preserve"> soumette les factures dans </w:t>
            </w:r>
            <w:r w:rsidR="000C0FBA">
              <w:rPr>
                <w:rFonts w:ascii="Calibri" w:hAnsi="Calibri"/>
              </w:rPr>
              <w:t xml:space="preserve">un délai limité </w:t>
            </w:r>
            <w:r>
              <w:rPr>
                <w:rFonts w:ascii="Calibri" w:hAnsi="Calibri"/>
              </w:rPr>
              <w:t xml:space="preserve"> après le déchargement de l</w:t>
            </w:r>
            <w:r w:rsidR="000C0FBA">
              <w:rPr>
                <w:rFonts w:ascii="Calibri" w:hAnsi="Calibri"/>
              </w:rPr>
              <w:t>a cargaison</w:t>
            </w:r>
            <w:r>
              <w:rPr>
                <w:rFonts w:ascii="Calibri" w:hAnsi="Calibri"/>
              </w:rPr>
              <w:t xml:space="preserve"> et, en règle générale, ne payer pour un service que s'il est exécuté </w:t>
            </w:r>
            <w:r w:rsidR="000C0FBA">
              <w:rPr>
                <w:rFonts w:ascii="Calibri" w:hAnsi="Calibri"/>
              </w:rPr>
              <w:t xml:space="preserve">de façon </w:t>
            </w:r>
            <w:r>
              <w:rPr>
                <w:rFonts w:ascii="Calibri" w:hAnsi="Calibri"/>
              </w:rPr>
              <w:t xml:space="preserve"> satisfaisant</w:t>
            </w:r>
            <w:r w:rsidR="000C0FBA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)</w:t>
            </w:r>
          </w:p>
        </w:tc>
      </w:tr>
    </w:tbl>
    <w:p w:rsidR="002113B0" w:rsidRPr="00AD01B8" w:rsidRDefault="00BF7B11">
      <w:pPr>
        <w:rPr>
          <w:rFonts w:ascii="Calibri" w:hAnsi="Calibri"/>
          <w:sz w:val="22"/>
          <w:szCs w:val="22"/>
        </w:rPr>
      </w:pPr>
    </w:p>
    <w:sectPr w:rsidR="002113B0" w:rsidRPr="00AD01B8" w:rsidSect="00A8531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A85318">
      <w:r>
        <w:separator/>
      </w:r>
    </w:p>
  </w:endnote>
  <w:endnote w:type="continuationSeparator" w:id="0">
    <w:p w:rsidR="00602EC4" w:rsidRDefault="00602EC4" w:rsidP="00A8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4728447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A85318" w:rsidRPr="00BF7B11" w:rsidRDefault="00A85318" w:rsidP="00BF7B11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B11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2C7A7C" w:rsidRPr="00BF7B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F7B11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="002C7A7C" w:rsidRPr="00BF7B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F7B11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2C7A7C" w:rsidRPr="00BF7B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7B1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2C7A7C" w:rsidRPr="00BF7B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F7B11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="002C7A7C" w:rsidRPr="00BF7B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F7B11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2C7A7C" w:rsidRPr="00BF7B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A85318">
      <w:r>
        <w:separator/>
      </w:r>
    </w:p>
  </w:footnote>
  <w:footnote w:type="continuationSeparator" w:id="0">
    <w:p w:rsidR="00602EC4" w:rsidRDefault="00602EC4" w:rsidP="00A85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18" w:rsidRPr="006460E2" w:rsidRDefault="00A85318" w:rsidP="00A85318">
    <w:pPr>
      <w:spacing w:after="120"/>
      <w:jc w:val="center"/>
      <w:outlineLvl w:val="1"/>
      <w:rPr>
        <w:rFonts w:asciiTheme="minorHAnsi" w:hAnsiTheme="minorHAnsi" w:cs="Arial"/>
        <w:b/>
        <w:bCs/>
        <w:sz w:val="28"/>
        <w:szCs w:val="28"/>
      </w:rPr>
    </w:pPr>
    <w:r>
      <w:rPr>
        <w:rFonts w:asciiTheme="minorHAnsi" w:hAnsiTheme="minorHAnsi"/>
        <w:b/>
        <w:bCs/>
        <w:color w:val="237990"/>
        <w:sz w:val="28"/>
        <w:szCs w:val="28"/>
      </w:rPr>
      <w:t>LISTE DE CONTRÔLE pour le recrutement du transitaire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C7B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1">
    <w:nsid w:val="0A8136C2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2">
    <w:nsid w:val="0AA87B7E"/>
    <w:multiLevelType w:val="multilevel"/>
    <w:tmpl w:val="E71229F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E756F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4">
    <w:nsid w:val="1BC870B8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5">
    <w:nsid w:val="1DE1041D"/>
    <w:multiLevelType w:val="hybridMultilevel"/>
    <w:tmpl w:val="F9F2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8508B"/>
    <w:multiLevelType w:val="hybridMultilevel"/>
    <w:tmpl w:val="6A6A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59D1"/>
    <w:multiLevelType w:val="hybridMultilevel"/>
    <w:tmpl w:val="E0B4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5B44"/>
    <w:multiLevelType w:val="hybridMultilevel"/>
    <w:tmpl w:val="0520FF76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320DA"/>
    <w:multiLevelType w:val="hybridMultilevel"/>
    <w:tmpl w:val="9F7AA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75BDD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11">
    <w:nsid w:val="69AE1520"/>
    <w:multiLevelType w:val="multilevel"/>
    <w:tmpl w:val="445A868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904FD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13">
    <w:nsid w:val="7A197626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18E"/>
    <w:rsid w:val="00004061"/>
    <w:rsid w:val="00026341"/>
    <w:rsid w:val="000433EC"/>
    <w:rsid w:val="00044D0E"/>
    <w:rsid w:val="000618A8"/>
    <w:rsid w:val="000A73C1"/>
    <w:rsid w:val="000B75D5"/>
    <w:rsid w:val="000C0FBA"/>
    <w:rsid w:val="000F6509"/>
    <w:rsid w:val="0013251B"/>
    <w:rsid w:val="00133069"/>
    <w:rsid w:val="001629C4"/>
    <w:rsid w:val="00165D64"/>
    <w:rsid w:val="00193361"/>
    <w:rsid w:val="002243F3"/>
    <w:rsid w:val="002305AD"/>
    <w:rsid w:val="00230F56"/>
    <w:rsid w:val="00255D4A"/>
    <w:rsid w:val="002B0376"/>
    <w:rsid w:val="002B47CA"/>
    <w:rsid w:val="002C7A7C"/>
    <w:rsid w:val="002E0D1A"/>
    <w:rsid w:val="0032659E"/>
    <w:rsid w:val="00335F48"/>
    <w:rsid w:val="003377D9"/>
    <w:rsid w:val="00341B54"/>
    <w:rsid w:val="00343E6B"/>
    <w:rsid w:val="00363F44"/>
    <w:rsid w:val="00371343"/>
    <w:rsid w:val="00372E19"/>
    <w:rsid w:val="003771F9"/>
    <w:rsid w:val="00387EF7"/>
    <w:rsid w:val="00404A18"/>
    <w:rsid w:val="00407BBC"/>
    <w:rsid w:val="004968E5"/>
    <w:rsid w:val="004E103B"/>
    <w:rsid w:val="005178F5"/>
    <w:rsid w:val="005708FA"/>
    <w:rsid w:val="005B1A7E"/>
    <w:rsid w:val="005B721B"/>
    <w:rsid w:val="005F6326"/>
    <w:rsid w:val="00602EC4"/>
    <w:rsid w:val="00612012"/>
    <w:rsid w:val="006460E2"/>
    <w:rsid w:val="00655308"/>
    <w:rsid w:val="00667BD5"/>
    <w:rsid w:val="006D3A0D"/>
    <w:rsid w:val="00703BF5"/>
    <w:rsid w:val="007256E2"/>
    <w:rsid w:val="00747BCA"/>
    <w:rsid w:val="0077267F"/>
    <w:rsid w:val="007F4D00"/>
    <w:rsid w:val="00874B27"/>
    <w:rsid w:val="008A16CE"/>
    <w:rsid w:val="008A627A"/>
    <w:rsid w:val="00904B80"/>
    <w:rsid w:val="00905DAA"/>
    <w:rsid w:val="009253AB"/>
    <w:rsid w:val="00934FCF"/>
    <w:rsid w:val="009D6666"/>
    <w:rsid w:val="009E62AA"/>
    <w:rsid w:val="00A16626"/>
    <w:rsid w:val="00A22F22"/>
    <w:rsid w:val="00A37C91"/>
    <w:rsid w:val="00A60F9B"/>
    <w:rsid w:val="00A61817"/>
    <w:rsid w:val="00A66D0B"/>
    <w:rsid w:val="00A81456"/>
    <w:rsid w:val="00A85318"/>
    <w:rsid w:val="00A86598"/>
    <w:rsid w:val="00AD01B8"/>
    <w:rsid w:val="00AE118E"/>
    <w:rsid w:val="00AF2F32"/>
    <w:rsid w:val="00B807F3"/>
    <w:rsid w:val="00B81A5E"/>
    <w:rsid w:val="00B96786"/>
    <w:rsid w:val="00BE3EB8"/>
    <w:rsid w:val="00BF4239"/>
    <w:rsid w:val="00BF7B11"/>
    <w:rsid w:val="00C30607"/>
    <w:rsid w:val="00C817E2"/>
    <w:rsid w:val="00C8363B"/>
    <w:rsid w:val="00CA19B6"/>
    <w:rsid w:val="00CA502F"/>
    <w:rsid w:val="00CC693D"/>
    <w:rsid w:val="00D11888"/>
    <w:rsid w:val="00D42424"/>
    <w:rsid w:val="00D426B7"/>
    <w:rsid w:val="00D570D1"/>
    <w:rsid w:val="00D86FFB"/>
    <w:rsid w:val="00D9179B"/>
    <w:rsid w:val="00DE28E4"/>
    <w:rsid w:val="00E61937"/>
    <w:rsid w:val="00E63792"/>
    <w:rsid w:val="00E67299"/>
    <w:rsid w:val="00EE7330"/>
    <w:rsid w:val="00F54CF5"/>
    <w:rsid w:val="00FA3ADD"/>
    <w:rsid w:val="00FB4927"/>
    <w:rsid w:val="00FC304A"/>
    <w:rsid w:val="00FC37EE"/>
    <w:rsid w:val="00FE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A85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3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3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2016-06-03T11:23:00Z</cp:lastPrinted>
  <dcterms:created xsi:type="dcterms:W3CDTF">2018-01-21T18:23:00Z</dcterms:created>
  <dcterms:modified xsi:type="dcterms:W3CDTF">2018-02-02T14:08:00Z</dcterms:modified>
</cp:coreProperties>
</file>