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46" w:rsidRPr="008F2E46" w:rsidRDefault="008A71E7" w:rsidP="00F2105C">
      <w:pPr>
        <w:spacing w:before="0" w:after="200" w:line="252" w:lineRule="auto"/>
      </w:pPr>
      <w:r>
        <w:t>Documenter les informations suivantes, disponibles (souvent lors de réunions de coordination) par l'intermédiaire de l'Autorité nationale des transports ou portuaire, des donateurs et des ONG qui utilisent déjà les services portuaires.</w:t>
      </w:r>
    </w:p>
    <w:tbl>
      <w:tblPr>
        <w:tblStyle w:val="TableGrid"/>
        <w:tblW w:w="9243" w:type="dxa"/>
        <w:tblLook w:val="04A0"/>
      </w:tblPr>
      <w:tblGrid>
        <w:gridCol w:w="648"/>
        <w:gridCol w:w="8595"/>
      </w:tblGrid>
      <w:tr w:rsidR="00E35584" w:rsidTr="00E35584">
        <w:tc>
          <w:tcPr>
            <w:tcW w:w="9243" w:type="dxa"/>
            <w:gridSpan w:val="2"/>
            <w:tcBorders>
              <w:top w:val="nil"/>
              <w:left w:val="nil"/>
              <w:bottom w:val="nil"/>
              <w:right w:val="nil"/>
            </w:tcBorders>
          </w:tcPr>
          <w:p w:rsidR="00E35584" w:rsidRPr="008B292D" w:rsidRDefault="00E35584" w:rsidP="00523B4D">
            <w:pPr>
              <w:spacing w:before="0" w:after="60"/>
              <w:rPr>
                <w:b/>
                <w:color w:val="237990"/>
                <w:sz w:val="24"/>
                <w:szCs w:val="24"/>
              </w:rPr>
            </w:pPr>
            <w:r>
              <w:rPr>
                <w:b/>
                <w:color w:val="237990"/>
                <w:sz w:val="24"/>
                <w:szCs w:val="24"/>
              </w:rPr>
              <w:t xml:space="preserve">Autorité </w:t>
            </w:r>
          </w:p>
        </w:tc>
      </w:tr>
      <w:tr w:rsidR="00E35584"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Autorité portuaire gouvernementale, quasi-gouvernementale ou privée</w:t>
            </w:r>
          </w:p>
        </w:tc>
      </w:tr>
      <w:tr w:rsidR="005218FA" w:rsidTr="00E85D89">
        <w:tc>
          <w:tcPr>
            <w:tcW w:w="9243" w:type="dxa"/>
            <w:gridSpan w:val="2"/>
            <w:tcBorders>
              <w:top w:val="nil"/>
              <w:left w:val="nil"/>
              <w:bottom w:val="nil"/>
              <w:right w:val="nil"/>
            </w:tcBorders>
          </w:tcPr>
          <w:p w:rsidR="005218FA" w:rsidRPr="008B292D" w:rsidRDefault="005218FA" w:rsidP="00523B4D">
            <w:pPr>
              <w:spacing w:before="200" w:after="60"/>
              <w:rPr>
                <w:b/>
                <w:color w:val="237990"/>
                <w:sz w:val="24"/>
                <w:szCs w:val="24"/>
              </w:rPr>
            </w:pPr>
            <w:r>
              <w:rPr>
                <w:b/>
                <w:color w:val="237990"/>
                <w:sz w:val="24"/>
                <w:szCs w:val="24"/>
              </w:rPr>
              <w:t>Restrictions de port de chargement et de déchargement</w:t>
            </w:r>
          </w:p>
        </w:tc>
      </w:tr>
      <w:tr w:rsidR="00E35584"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Tirant d'eau maximal (profondeur submergée) permis lorsque le navire entre dans le port</w:t>
            </w:r>
          </w:p>
        </w:tc>
      </w:tr>
      <w:tr w:rsidR="00E35584"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Longueur totale du navire et de la coque</w:t>
            </w:r>
          </w:p>
        </w:tc>
      </w:tr>
      <w:tr w:rsidR="00E35584"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Serrures / restriction de barre</w:t>
            </w:r>
          </w:p>
        </w:tc>
      </w:tr>
      <w:tr w:rsidR="00E35584"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Hauteurs de pont</w:t>
            </w:r>
          </w:p>
        </w:tc>
      </w:tr>
      <w:tr w:rsidR="00E35584"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Utilisation, taille, capacité et âge des barges, le cas échéant</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9C06C2">
            <w:pPr>
              <w:spacing w:after="40"/>
            </w:pPr>
            <w:r>
              <w:t xml:space="preserve">Toutes </w:t>
            </w:r>
            <w:r w:rsidR="00F64375">
              <w:t xml:space="preserve">les redevances </w:t>
            </w:r>
            <w:r>
              <w:t>spéciales ou taxes sur les navires</w:t>
            </w:r>
          </w:p>
        </w:tc>
      </w:tr>
      <w:tr w:rsidR="00E35584" w:rsidRPr="005E432F" w:rsidTr="00E35584">
        <w:tc>
          <w:tcPr>
            <w:tcW w:w="9243" w:type="dxa"/>
            <w:gridSpan w:val="2"/>
            <w:tcBorders>
              <w:top w:val="nil"/>
              <w:left w:val="nil"/>
              <w:bottom w:val="nil"/>
              <w:right w:val="nil"/>
            </w:tcBorders>
          </w:tcPr>
          <w:p w:rsidR="00E35584" w:rsidRPr="008B292D" w:rsidRDefault="00E35584" w:rsidP="00B01F32">
            <w:pPr>
              <w:spacing w:before="200" w:after="60"/>
              <w:rPr>
                <w:b/>
                <w:color w:val="237990"/>
                <w:sz w:val="24"/>
                <w:szCs w:val="24"/>
              </w:rPr>
            </w:pPr>
            <w:r>
              <w:rPr>
                <w:b/>
                <w:color w:val="237990"/>
                <w:sz w:val="24"/>
                <w:szCs w:val="24"/>
              </w:rPr>
              <w:t>Restrictions d</w:t>
            </w:r>
            <w:r w:rsidR="00B01F32">
              <w:rPr>
                <w:b/>
                <w:color w:val="237990"/>
                <w:sz w:val="24"/>
                <w:szCs w:val="24"/>
              </w:rPr>
              <w:t>’amarrage</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E945A7">
            <w:pPr>
              <w:spacing w:before="0" w:after="0"/>
            </w:pPr>
            <w:r>
              <w:t>Tirant d'eau maximal autorisé le long des installations de chargement et de déchargement (</w:t>
            </w:r>
            <w:r w:rsidR="00F64375">
              <w:t>Quelles sont les tailles de navire capables d’accoster</w:t>
            </w:r>
            <w:r>
              <w:t xml:space="preserve">? </w:t>
            </w:r>
            <w:r w:rsidR="00F64375">
              <w:t xml:space="preserve">Des chalands </w:t>
            </w:r>
            <w:r>
              <w:t>seront-elles nécessaires?)</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E945A7">
            <w:pPr>
              <w:spacing w:after="40"/>
            </w:pPr>
            <w:r>
              <w:t>Longueur du poste d</w:t>
            </w:r>
            <w:r w:rsidR="00B01F32">
              <w:t>’amarrag</w:t>
            </w:r>
            <w:r w:rsidR="009C06C2">
              <w:t>e</w:t>
            </w:r>
            <w:r>
              <w:t xml:space="preserve"> et largeur de coque admissible</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Hauteurs au-dessus de la ligne de flottaison (interférence de goulotte d'ascenseur)</w:t>
            </w:r>
          </w:p>
        </w:tc>
      </w:tr>
      <w:tr w:rsidR="00E35584" w:rsidRPr="005E432F" w:rsidTr="00E35584">
        <w:tc>
          <w:tcPr>
            <w:tcW w:w="9243" w:type="dxa"/>
            <w:gridSpan w:val="2"/>
            <w:tcBorders>
              <w:top w:val="nil"/>
              <w:left w:val="nil"/>
              <w:bottom w:val="nil"/>
              <w:right w:val="nil"/>
            </w:tcBorders>
          </w:tcPr>
          <w:p w:rsidR="00E35584" w:rsidRPr="008B292D" w:rsidRDefault="00E35584" w:rsidP="00E945A7">
            <w:pPr>
              <w:spacing w:before="200" w:after="60"/>
              <w:rPr>
                <w:color w:val="237990"/>
                <w:sz w:val="24"/>
                <w:szCs w:val="24"/>
              </w:rPr>
            </w:pPr>
            <w:r>
              <w:rPr>
                <w:b/>
                <w:color w:val="237990"/>
                <w:sz w:val="24"/>
                <w:szCs w:val="24"/>
              </w:rPr>
              <w:t>Pratique</w:t>
            </w:r>
            <w:r w:rsidR="00F64375">
              <w:rPr>
                <w:b/>
                <w:color w:val="237990"/>
                <w:sz w:val="24"/>
                <w:szCs w:val="24"/>
              </w:rPr>
              <w:t xml:space="preserve">s </w:t>
            </w:r>
            <w:r w:rsidR="009C06C2">
              <w:rPr>
                <w:b/>
                <w:color w:val="237990"/>
                <w:sz w:val="24"/>
                <w:szCs w:val="24"/>
              </w:rPr>
              <w:t xml:space="preserve">de gestion de la main d’œuvre </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Heures de travail normales, heures supplémentaires et jours fériés</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F64375" w:rsidP="00523B4D">
            <w:pPr>
              <w:spacing w:after="40"/>
            </w:pPr>
            <w:r>
              <w:t>G</w:t>
            </w:r>
            <w:r w:rsidR="009C06C2">
              <w:t>rille</w:t>
            </w:r>
            <w:r>
              <w:t xml:space="preserve"> de</w:t>
            </w:r>
            <w:r w:rsidR="009C06C2">
              <w:t>s</w:t>
            </w:r>
            <w:r>
              <w:t xml:space="preserve"> salaires</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E945A7">
            <w:pPr>
              <w:spacing w:after="40"/>
            </w:pPr>
            <w:r>
              <w:t>Productivité (tonnes par heure) des opérations de</w:t>
            </w:r>
            <w:r w:rsidR="00B01F32">
              <w:t xml:space="preserve"> traitement de la</w:t>
            </w:r>
            <w:r>
              <w:t xml:space="preserve"> </w:t>
            </w:r>
            <w:r w:rsidR="00F64375">
              <w:t xml:space="preserve">cargaison </w:t>
            </w:r>
            <w:r>
              <w:t xml:space="preserve">et des </w:t>
            </w:r>
            <w:r w:rsidR="00F64375">
              <w:t>manutentionnaires</w:t>
            </w:r>
          </w:p>
        </w:tc>
      </w:tr>
      <w:tr w:rsidR="00E35584" w:rsidRPr="005E432F" w:rsidTr="00E35584">
        <w:tc>
          <w:tcPr>
            <w:tcW w:w="9243" w:type="dxa"/>
            <w:gridSpan w:val="2"/>
            <w:tcBorders>
              <w:top w:val="nil"/>
              <w:left w:val="nil"/>
              <w:bottom w:val="nil"/>
              <w:right w:val="nil"/>
            </w:tcBorders>
          </w:tcPr>
          <w:p w:rsidR="00E35584" w:rsidRPr="008B292D" w:rsidRDefault="00E35584" w:rsidP="00523B4D">
            <w:pPr>
              <w:spacing w:before="200" w:after="60"/>
              <w:rPr>
                <w:b/>
                <w:color w:val="237990"/>
                <w:sz w:val="24"/>
                <w:szCs w:val="24"/>
              </w:rPr>
            </w:pPr>
            <w:r>
              <w:rPr>
                <w:b/>
                <w:color w:val="237990"/>
                <w:sz w:val="24"/>
                <w:szCs w:val="24"/>
              </w:rPr>
              <w:t>Types d'équipement de déchargement et de manutention de la cargaison</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Grues à terre et capacité de levage</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E945A7">
            <w:pPr>
              <w:spacing w:after="40"/>
            </w:pPr>
            <w:r>
              <w:t>Équipement pour conteneurs (déchargement et chargement sur le</w:t>
            </w:r>
            <w:r w:rsidR="009C06C2">
              <w:t xml:space="preserve"> moyen de</w:t>
            </w:r>
            <w:r>
              <w:t xml:space="preserve"> transport </w:t>
            </w:r>
            <w:r w:rsidR="00F64375">
              <w:t>terrestre</w:t>
            </w:r>
            <w:r>
              <w:t>)</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B01F32" w:rsidP="00E945A7">
            <w:pPr>
              <w:spacing w:after="40"/>
            </w:pPr>
            <w:r>
              <w:t>Équipement d</w:t>
            </w:r>
            <w:r w:rsidR="009C06C2">
              <w:t>’</w:t>
            </w:r>
            <w:r w:rsidR="00A4605A">
              <w:t>enlèvement</w:t>
            </w:r>
            <w:r w:rsidR="009C06C2">
              <w:t xml:space="preserve"> d</w:t>
            </w:r>
            <w:r w:rsidR="00E35584">
              <w:t xml:space="preserve">es cargaisons en vrac des navires vers les silos de stockage portuaires </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Ensacheuses précises</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E945A7">
            <w:pPr>
              <w:spacing w:after="40"/>
            </w:pPr>
            <w:r>
              <w:t xml:space="preserve">Taux </w:t>
            </w:r>
            <w:r w:rsidR="009C06C2">
              <w:t xml:space="preserve">moyens de </w:t>
            </w:r>
            <w:r w:rsidR="00A4605A">
              <w:t>déchargement</w:t>
            </w:r>
            <w:r>
              <w:t xml:space="preserve"> par </w:t>
            </w:r>
            <w:r w:rsidR="00A4605A">
              <w:t>équipe</w:t>
            </w:r>
            <w:r w:rsidR="009C06C2">
              <w:t xml:space="preserve"> </w:t>
            </w:r>
            <w:r>
              <w:t>ou jour</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E945A7">
            <w:pPr>
              <w:spacing w:after="0"/>
            </w:pPr>
            <w:r>
              <w:t xml:space="preserve">Types d'installations de chargement et de déchargement (chargement et déchargement </w:t>
            </w:r>
            <w:r w:rsidR="009C06C2">
              <w:t xml:space="preserve">par </w:t>
            </w:r>
            <w:r>
              <w:t xml:space="preserve">ascenseurs, </w:t>
            </w:r>
            <w:r w:rsidR="00A4605A">
              <w:t>déchargement</w:t>
            </w:r>
            <w:r w:rsidR="009C06C2">
              <w:t xml:space="preserve"> </w:t>
            </w:r>
            <w:r w:rsidR="00A4605A">
              <w:t>pneumatique</w:t>
            </w:r>
            <w:r w:rsidR="009C06C2">
              <w:t xml:space="preserve"> </w:t>
            </w:r>
            <w:r>
              <w:t xml:space="preserve">ou </w:t>
            </w:r>
            <w:r w:rsidR="009C06C2">
              <w:t>main courante</w:t>
            </w:r>
            <w:r>
              <w:t>)</w:t>
            </w:r>
          </w:p>
        </w:tc>
      </w:tr>
      <w:tr w:rsidR="00E35584" w:rsidRPr="005E432F" w:rsidTr="00E35584">
        <w:tc>
          <w:tcPr>
            <w:tcW w:w="9243" w:type="dxa"/>
            <w:gridSpan w:val="2"/>
            <w:tcBorders>
              <w:top w:val="nil"/>
              <w:left w:val="nil"/>
              <w:bottom w:val="nil"/>
              <w:right w:val="nil"/>
            </w:tcBorders>
          </w:tcPr>
          <w:p w:rsidR="00E35584" w:rsidRPr="008B292D" w:rsidRDefault="00E35584" w:rsidP="00523B4D">
            <w:pPr>
              <w:spacing w:before="200" w:after="60"/>
              <w:rPr>
                <w:b/>
                <w:color w:val="237990"/>
                <w:sz w:val="24"/>
                <w:szCs w:val="24"/>
              </w:rPr>
            </w:pPr>
            <w:r>
              <w:rPr>
                <w:b/>
                <w:color w:val="237990"/>
                <w:sz w:val="24"/>
                <w:szCs w:val="24"/>
              </w:rPr>
              <w:t>Hangars de transit et stockage portuaire</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lastRenderedPageBreak/>
              <w:sym w:font="Webdings" w:char="F063"/>
            </w:r>
          </w:p>
        </w:tc>
        <w:tc>
          <w:tcPr>
            <w:tcW w:w="8595" w:type="dxa"/>
            <w:tcBorders>
              <w:top w:val="nil"/>
              <w:left w:val="nil"/>
              <w:bottom w:val="nil"/>
              <w:right w:val="nil"/>
            </w:tcBorders>
          </w:tcPr>
          <w:p w:rsidR="00E35584" w:rsidRPr="00E35584" w:rsidRDefault="00E35584" w:rsidP="00C52ABF">
            <w:pPr>
              <w:spacing w:afterLines="40"/>
            </w:pPr>
            <w:r>
              <w:t>Types de capacité de stockage dans le port (stockage extérieur, ou entrepôts ouverts ou verrouillés)</w:t>
            </w:r>
          </w:p>
        </w:tc>
      </w:tr>
      <w:tr w:rsidR="008A71E7" w:rsidRPr="005E432F" w:rsidTr="00E35584">
        <w:tc>
          <w:tcPr>
            <w:tcW w:w="648" w:type="dxa"/>
            <w:tcBorders>
              <w:top w:val="nil"/>
              <w:left w:val="nil"/>
              <w:bottom w:val="nil"/>
              <w:right w:val="nil"/>
            </w:tcBorders>
          </w:tcPr>
          <w:p w:rsidR="008A71E7" w:rsidRPr="00136B58" w:rsidRDefault="008A71E7"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8A71E7" w:rsidRPr="00E35584" w:rsidRDefault="008A71E7" w:rsidP="00C52ABF">
            <w:pPr>
              <w:spacing w:afterLines="40"/>
            </w:pPr>
            <w:r>
              <w:t>Stockage de conteneurs</w:t>
            </w:r>
          </w:p>
        </w:tc>
      </w:tr>
      <w:tr w:rsidR="008A71E7" w:rsidRPr="005E432F" w:rsidTr="00E35584">
        <w:tc>
          <w:tcPr>
            <w:tcW w:w="648" w:type="dxa"/>
            <w:tcBorders>
              <w:top w:val="nil"/>
              <w:left w:val="nil"/>
              <w:bottom w:val="nil"/>
              <w:right w:val="nil"/>
            </w:tcBorders>
          </w:tcPr>
          <w:p w:rsidR="008A71E7" w:rsidRPr="00136B58" w:rsidRDefault="008A71E7"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8A71E7" w:rsidRPr="00E35584" w:rsidRDefault="008A71E7" w:rsidP="00C52ABF">
            <w:pPr>
              <w:spacing w:afterLines="40"/>
            </w:pPr>
            <w:r>
              <w:t xml:space="preserve">Nombre de jours </w:t>
            </w:r>
            <w:r w:rsidR="009C06C2">
              <w:t>pour l’</w:t>
            </w:r>
            <w:r w:rsidR="00A4605A">
              <w:t>évacuation</w:t>
            </w:r>
            <w:r w:rsidR="009C06C2">
              <w:t xml:space="preserve"> de la cargaison </w:t>
            </w:r>
            <w:r>
              <w:t>(des surestaries)</w:t>
            </w:r>
          </w:p>
        </w:tc>
      </w:tr>
      <w:tr w:rsidR="00E35584" w:rsidRPr="005E432F" w:rsidTr="00E35584">
        <w:tc>
          <w:tcPr>
            <w:tcW w:w="9243" w:type="dxa"/>
            <w:gridSpan w:val="2"/>
            <w:tcBorders>
              <w:top w:val="nil"/>
              <w:left w:val="nil"/>
              <w:bottom w:val="nil"/>
              <w:right w:val="nil"/>
            </w:tcBorders>
          </w:tcPr>
          <w:p w:rsidR="00E35584" w:rsidRPr="008B292D" w:rsidRDefault="00E35584" w:rsidP="00523B4D">
            <w:pPr>
              <w:spacing w:before="200" w:after="60"/>
              <w:rPr>
                <w:b/>
                <w:color w:val="237990"/>
                <w:sz w:val="24"/>
                <w:szCs w:val="24"/>
              </w:rPr>
            </w:pPr>
            <w:r>
              <w:rPr>
                <w:b/>
                <w:color w:val="237990"/>
                <w:sz w:val="24"/>
                <w:szCs w:val="24"/>
              </w:rPr>
              <w:t>Débarquement</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E945A7">
            <w:pPr>
              <w:spacing w:after="40"/>
            </w:pPr>
            <w:r>
              <w:t>Accès ferroviaire direct</w:t>
            </w:r>
            <w:r w:rsidR="009C06C2">
              <w:t xml:space="preserve"> jusqu’au</w:t>
            </w:r>
            <w:r>
              <w:t xml:space="preserve"> quai</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Un espace suffisant est disponible pour pouvoir manœuvrer les camions dans le port.</w:t>
            </w:r>
          </w:p>
        </w:tc>
      </w:tr>
      <w:tr w:rsidR="008A71E7" w:rsidRPr="005E432F" w:rsidTr="00E35584">
        <w:tc>
          <w:tcPr>
            <w:tcW w:w="648" w:type="dxa"/>
            <w:tcBorders>
              <w:top w:val="nil"/>
              <w:left w:val="nil"/>
              <w:bottom w:val="nil"/>
              <w:right w:val="nil"/>
            </w:tcBorders>
          </w:tcPr>
          <w:p w:rsidR="008A71E7" w:rsidRPr="00136B58" w:rsidRDefault="008A71E7"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8A71E7" w:rsidRPr="00E35584" w:rsidRDefault="008A71E7" w:rsidP="00523B4D">
            <w:pPr>
              <w:spacing w:after="40"/>
            </w:pPr>
            <w:r>
              <w:t>Voies navigables</w:t>
            </w:r>
          </w:p>
        </w:tc>
      </w:tr>
      <w:tr w:rsidR="00E35584" w:rsidRPr="005E432F" w:rsidTr="00E35584">
        <w:tc>
          <w:tcPr>
            <w:tcW w:w="9243" w:type="dxa"/>
            <w:gridSpan w:val="2"/>
            <w:tcBorders>
              <w:top w:val="nil"/>
              <w:left w:val="nil"/>
              <w:bottom w:val="nil"/>
              <w:right w:val="nil"/>
            </w:tcBorders>
          </w:tcPr>
          <w:p w:rsidR="00E35584" w:rsidRPr="008B292D" w:rsidRDefault="00E35584" w:rsidP="00523B4D">
            <w:pPr>
              <w:spacing w:before="200" w:after="60"/>
              <w:rPr>
                <w:b/>
                <w:color w:val="237990"/>
                <w:sz w:val="24"/>
                <w:szCs w:val="24"/>
              </w:rPr>
            </w:pPr>
            <w:r>
              <w:rPr>
                <w:b/>
                <w:color w:val="237990"/>
                <w:sz w:val="24"/>
                <w:szCs w:val="24"/>
              </w:rPr>
              <w:t>Services de pointage</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Compagnies de pointage et d’inspection qualifiées qui peuvent fournir un rapport d'exécution</w:t>
            </w:r>
          </w:p>
        </w:tc>
      </w:tr>
      <w:tr w:rsidR="00E35584" w:rsidRPr="005E432F" w:rsidTr="00E35584">
        <w:tc>
          <w:tcPr>
            <w:tcW w:w="9243" w:type="dxa"/>
            <w:gridSpan w:val="2"/>
            <w:tcBorders>
              <w:top w:val="nil"/>
              <w:left w:val="nil"/>
              <w:bottom w:val="nil"/>
              <w:right w:val="nil"/>
            </w:tcBorders>
          </w:tcPr>
          <w:p w:rsidR="00E35584" w:rsidRPr="008B292D" w:rsidRDefault="00E35584" w:rsidP="00523B4D">
            <w:pPr>
              <w:spacing w:before="200" w:after="60"/>
              <w:rPr>
                <w:b/>
                <w:color w:val="237990"/>
                <w:sz w:val="24"/>
                <w:szCs w:val="24"/>
              </w:rPr>
            </w:pPr>
            <w:r>
              <w:rPr>
                <w:b/>
                <w:color w:val="237990"/>
                <w:sz w:val="24"/>
                <w:szCs w:val="24"/>
              </w:rPr>
              <w:t>Éclairage portuaire et sécurité</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322DD7" w:rsidP="00523B4D">
            <w:pPr>
              <w:spacing w:after="40"/>
            </w:pPr>
            <w:r>
              <w:t>Projecteurs</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Fiabilité de l'approvisionnement en électricité</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523B4D">
            <w:pPr>
              <w:spacing w:after="40"/>
            </w:pPr>
            <w:r>
              <w:t>Clôture pour contrôler l'accès</w:t>
            </w:r>
          </w:p>
        </w:tc>
      </w:tr>
      <w:tr w:rsidR="00E35584" w:rsidRPr="005E432F" w:rsidTr="00E35584">
        <w:tc>
          <w:tcPr>
            <w:tcW w:w="648" w:type="dxa"/>
            <w:tcBorders>
              <w:top w:val="nil"/>
              <w:left w:val="nil"/>
              <w:bottom w:val="nil"/>
              <w:right w:val="nil"/>
            </w:tcBorders>
          </w:tcPr>
          <w:p w:rsidR="00E35584" w:rsidRPr="00136B58" w:rsidRDefault="00E35584"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E35584" w:rsidRPr="00E35584" w:rsidRDefault="00E35584" w:rsidP="00E945A7">
            <w:pPr>
              <w:spacing w:after="40"/>
            </w:pPr>
            <w:r>
              <w:t xml:space="preserve">Personnel </w:t>
            </w:r>
            <w:r w:rsidR="00E945A7">
              <w:t xml:space="preserve">et services </w:t>
            </w:r>
            <w:r>
              <w:t>de sécurité</w:t>
            </w:r>
          </w:p>
        </w:tc>
      </w:tr>
      <w:tr w:rsidR="008A71E7" w:rsidRPr="005E432F" w:rsidTr="005A2B30">
        <w:tc>
          <w:tcPr>
            <w:tcW w:w="9243" w:type="dxa"/>
            <w:gridSpan w:val="2"/>
            <w:tcBorders>
              <w:top w:val="nil"/>
              <w:left w:val="nil"/>
              <w:bottom w:val="nil"/>
              <w:right w:val="nil"/>
            </w:tcBorders>
          </w:tcPr>
          <w:p w:rsidR="008A71E7" w:rsidRPr="008B292D" w:rsidRDefault="00322DD7" w:rsidP="00523B4D">
            <w:pPr>
              <w:spacing w:before="200" w:after="60"/>
              <w:rPr>
                <w:b/>
                <w:color w:val="237990"/>
                <w:sz w:val="24"/>
                <w:szCs w:val="24"/>
              </w:rPr>
            </w:pPr>
            <w:r>
              <w:rPr>
                <w:b/>
                <w:color w:val="237990"/>
                <w:sz w:val="24"/>
                <w:szCs w:val="24"/>
              </w:rPr>
              <w:t>Restrictions d'importation spécifiques aux vivres</w:t>
            </w:r>
          </w:p>
        </w:tc>
      </w:tr>
      <w:tr w:rsidR="00AD6B4D" w:rsidRPr="005E432F" w:rsidTr="00E35584">
        <w:tc>
          <w:tcPr>
            <w:tcW w:w="648" w:type="dxa"/>
            <w:tcBorders>
              <w:top w:val="nil"/>
              <w:left w:val="nil"/>
              <w:bottom w:val="nil"/>
              <w:right w:val="nil"/>
            </w:tcBorders>
          </w:tcPr>
          <w:p w:rsidR="00AD6B4D" w:rsidRPr="00136B58" w:rsidRDefault="009F2042"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AD6B4D" w:rsidRPr="00E35584" w:rsidRDefault="009F2042" w:rsidP="00B01F32">
            <w:pPr>
              <w:spacing w:after="40"/>
            </w:pPr>
            <w:r>
              <w:t>Conditions d'</w:t>
            </w:r>
            <w:r w:rsidR="00B01F32">
              <w:t xml:space="preserve">autorisation </w:t>
            </w:r>
            <w:bookmarkStart w:id="0" w:name="_GoBack"/>
            <w:bookmarkEnd w:id="0"/>
            <w:r>
              <w:t>des OGM</w:t>
            </w:r>
          </w:p>
        </w:tc>
      </w:tr>
      <w:tr w:rsidR="00AD6B4D" w:rsidRPr="005E432F" w:rsidTr="00E35584">
        <w:tc>
          <w:tcPr>
            <w:tcW w:w="648" w:type="dxa"/>
            <w:tcBorders>
              <w:top w:val="nil"/>
              <w:left w:val="nil"/>
              <w:bottom w:val="nil"/>
              <w:right w:val="nil"/>
            </w:tcBorders>
          </w:tcPr>
          <w:p w:rsidR="00AD6B4D" w:rsidRPr="00136B58" w:rsidRDefault="009F2042"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AD6B4D" w:rsidRPr="00E35584" w:rsidRDefault="009F2042" w:rsidP="00523B4D">
            <w:pPr>
              <w:spacing w:after="40"/>
            </w:pPr>
            <w:r>
              <w:t>Obligations relatives aux droits et taxes</w:t>
            </w:r>
          </w:p>
        </w:tc>
      </w:tr>
      <w:tr w:rsidR="00AD6B4D" w:rsidRPr="005E432F" w:rsidTr="00E35584">
        <w:tc>
          <w:tcPr>
            <w:tcW w:w="648" w:type="dxa"/>
            <w:tcBorders>
              <w:top w:val="nil"/>
              <w:left w:val="nil"/>
              <w:bottom w:val="nil"/>
              <w:right w:val="nil"/>
            </w:tcBorders>
          </w:tcPr>
          <w:p w:rsidR="00AD6B4D" w:rsidRPr="00136B58" w:rsidRDefault="009F2042"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AD6B4D" w:rsidRPr="00E35584" w:rsidRDefault="009F2042" w:rsidP="00523B4D">
            <w:pPr>
              <w:spacing w:after="40"/>
            </w:pPr>
            <w:r>
              <w:t>Restrictions de charge à l'essieu</w:t>
            </w:r>
          </w:p>
        </w:tc>
      </w:tr>
      <w:tr w:rsidR="00AD6B4D" w:rsidRPr="005E432F" w:rsidTr="00E35584">
        <w:tc>
          <w:tcPr>
            <w:tcW w:w="648" w:type="dxa"/>
            <w:tcBorders>
              <w:top w:val="nil"/>
              <w:left w:val="nil"/>
              <w:bottom w:val="nil"/>
              <w:right w:val="nil"/>
            </w:tcBorders>
          </w:tcPr>
          <w:p w:rsidR="00AD6B4D" w:rsidRPr="00136B58" w:rsidRDefault="009F2042" w:rsidP="005218FA">
            <w:pPr>
              <w:spacing w:after="0"/>
              <w:rPr>
                <w:sz w:val="28"/>
                <w:szCs w:val="28"/>
              </w:rPr>
            </w:pPr>
            <w:r>
              <w:rPr>
                <w:sz w:val="28"/>
                <w:szCs w:val="28"/>
              </w:rPr>
              <w:sym w:font="Webdings" w:char="F063"/>
            </w:r>
          </w:p>
        </w:tc>
        <w:tc>
          <w:tcPr>
            <w:tcW w:w="8595" w:type="dxa"/>
            <w:tcBorders>
              <w:top w:val="nil"/>
              <w:left w:val="nil"/>
              <w:bottom w:val="nil"/>
              <w:right w:val="nil"/>
            </w:tcBorders>
          </w:tcPr>
          <w:p w:rsidR="00AD6B4D" w:rsidRPr="00E35584" w:rsidRDefault="009F2042" w:rsidP="00E945A7">
            <w:pPr>
              <w:spacing w:after="40"/>
            </w:pPr>
            <w:r>
              <w:t xml:space="preserve">Restrictions de </w:t>
            </w:r>
            <w:r w:rsidR="00E945A7">
              <w:t xml:space="preserve">charges </w:t>
            </w:r>
            <w:r w:rsidR="00A4605A">
              <w:t>excédentaires</w:t>
            </w:r>
          </w:p>
        </w:tc>
      </w:tr>
      <w:tr w:rsidR="009F2042" w:rsidRPr="005E432F" w:rsidTr="00E35584">
        <w:tc>
          <w:tcPr>
            <w:tcW w:w="648" w:type="dxa"/>
            <w:tcBorders>
              <w:top w:val="nil"/>
              <w:left w:val="nil"/>
              <w:bottom w:val="nil"/>
              <w:right w:val="nil"/>
            </w:tcBorders>
          </w:tcPr>
          <w:p w:rsidR="009F2042" w:rsidRPr="00136B58" w:rsidRDefault="009F2042" w:rsidP="005218FA">
            <w:pPr>
              <w:spacing w:after="0"/>
              <w:rPr>
                <w:sz w:val="28"/>
                <w:szCs w:val="28"/>
              </w:rPr>
            </w:pPr>
          </w:p>
        </w:tc>
        <w:tc>
          <w:tcPr>
            <w:tcW w:w="8595" w:type="dxa"/>
            <w:tcBorders>
              <w:top w:val="nil"/>
              <w:left w:val="nil"/>
              <w:bottom w:val="nil"/>
              <w:right w:val="nil"/>
            </w:tcBorders>
          </w:tcPr>
          <w:p w:rsidR="009F2042" w:rsidRDefault="009F2042" w:rsidP="005218FA">
            <w:pPr>
              <w:spacing w:after="0"/>
            </w:pPr>
          </w:p>
        </w:tc>
      </w:tr>
      <w:tr w:rsidR="009F2042" w:rsidRPr="005E432F" w:rsidTr="009F2042">
        <w:tc>
          <w:tcPr>
            <w:tcW w:w="9243" w:type="dxa"/>
            <w:gridSpan w:val="2"/>
            <w:tcBorders>
              <w:top w:val="nil"/>
              <w:left w:val="nil"/>
              <w:bottom w:val="nil"/>
              <w:right w:val="nil"/>
            </w:tcBorders>
          </w:tcPr>
          <w:p w:rsidR="009F2042" w:rsidRPr="008B292D" w:rsidRDefault="009F2042" w:rsidP="005218FA">
            <w:pPr>
              <w:spacing w:after="0"/>
              <w:rPr>
                <w:b/>
                <w:color w:val="237990"/>
                <w:sz w:val="24"/>
                <w:szCs w:val="24"/>
              </w:rPr>
            </w:pPr>
            <w:r>
              <w:rPr>
                <w:b/>
                <w:color w:val="237990"/>
                <w:sz w:val="24"/>
                <w:szCs w:val="24"/>
              </w:rPr>
              <w:t>Recommandations sur l'utilisation du port:</w:t>
            </w:r>
          </w:p>
        </w:tc>
      </w:tr>
      <w:tr w:rsidR="009F2042" w:rsidRPr="005E432F" w:rsidTr="009F2042">
        <w:tc>
          <w:tcPr>
            <w:tcW w:w="9243" w:type="dxa"/>
            <w:gridSpan w:val="2"/>
            <w:tcBorders>
              <w:top w:val="nil"/>
              <w:left w:val="nil"/>
              <w:bottom w:val="single" w:sz="4" w:space="0" w:color="auto"/>
              <w:right w:val="nil"/>
            </w:tcBorders>
          </w:tcPr>
          <w:p w:rsidR="009F2042" w:rsidRDefault="009F2042" w:rsidP="008B292D">
            <w:pPr>
              <w:spacing w:before="0" w:after="0"/>
            </w:pPr>
          </w:p>
        </w:tc>
      </w:tr>
      <w:tr w:rsidR="009F2042" w:rsidRPr="005E432F" w:rsidTr="009F2042">
        <w:tc>
          <w:tcPr>
            <w:tcW w:w="9243" w:type="dxa"/>
            <w:gridSpan w:val="2"/>
            <w:tcBorders>
              <w:top w:val="single" w:sz="4" w:space="0" w:color="auto"/>
              <w:left w:val="nil"/>
              <w:bottom w:val="single" w:sz="4" w:space="0" w:color="auto"/>
              <w:right w:val="nil"/>
            </w:tcBorders>
          </w:tcPr>
          <w:p w:rsidR="009F2042" w:rsidRDefault="009F2042" w:rsidP="005218FA">
            <w:pPr>
              <w:spacing w:after="0"/>
            </w:pPr>
          </w:p>
        </w:tc>
      </w:tr>
      <w:tr w:rsidR="009F2042" w:rsidRPr="005E432F" w:rsidTr="009F2042">
        <w:tc>
          <w:tcPr>
            <w:tcW w:w="9243" w:type="dxa"/>
            <w:gridSpan w:val="2"/>
            <w:tcBorders>
              <w:top w:val="single" w:sz="4" w:space="0" w:color="auto"/>
              <w:left w:val="nil"/>
              <w:bottom w:val="single" w:sz="4" w:space="0" w:color="auto"/>
              <w:right w:val="nil"/>
            </w:tcBorders>
          </w:tcPr>
          <w:p w:rsidR="009F2042" w:rsidRDefault="009F2042" w:rsidP="005218FA">
            <w:pPr>
              <w:spacing w:after="0"/>
            </w:pPr>
          </w:p>
        </w:tc>
      </w:tr>
      <w:tr w:rsidR="009F2042" w:rsidRPr="005E432F" w:rsidTr="009F2042">
        <w:tc>
          <w:tcPr>
            <w:tcW w:w="9243" w:type="dxa"/>
            <w:gridSpan w:val="2"/>
            <w:tcBorders>
              <w:top w:val="single" w:sz="4" w:space="0" w:color="auto"/>
              <w:left w:val="nil"/>
              <w:bottom w:val="single" w:sz="4" w:space="0" w:color="auto"/>
              <w:right w:val="nil"/>
            </w:tcBorders>
          </w:tcPr>
          <w:p w:rsidR="009F2042" w:rsidRDefault="009F2042" w:rsidP="005218FA">
            <w:pPr>
              <w:spacing w:after="0"/>
            </w:pPr>
          </w:p>
        </w:tc>
      </w:tr>
      <w:tr w:rsidR="009F2042" w:rsidRPr="005E432F" w:rsidTr="009F2042">
        <w:tc>
          <w:tcPr>
            <w:tcW w:w="9243" w:type="dxa"/>
            <w:gridSpan w:val="2"/>
            <w:tcBorders>
              <w:top w:val="single" w:sz="4" w:space="0" w:color="auto"/>
              <w:left w:val="nil"/>
              <w:bottom w:val="single" w:sz="4" w:space="0" w:color="auto"/>
              <w:right w:val="nil"/>
            </w:tcBorders>
          </w:tcPr>
          <w:p w:rsidR="009F2042" w:rsidRDefault="009F2042" w:rsidP="005218FA">
            <w:pPr>
              <w:spacing w:after="0"/>
            </w:pPr>
          </w:p>
        </w:tc>
      </w:tr>
      <w:tr w:rsidR="009F2042" w:rsidRPr="005E432F" w:rsidTr="009F2042">
        <w:tc>
          <w:tcPr>
            <w:tcW w:w="9243" w:type="dxa"/>
            <w:gridSpan w:val="2"/>
            <w:tcBorders>
              <w:top w:val="single" w:sz="4" w:space="0" w:color="auto"/>
              <w:left w:val="nil"/>
              <w:bottom w:val="single" w:sz="4" w:space="0" w:color="auto"/>
              <w:right w:val="nil"/>
            </w:tcBorders>
          </w:tcPr>
          <w:p w:rsidR="009F2042" w:rsidRDefault="009F2042" w:rsidP="005218FA">
            <w:pPr>
              <w:spacing w:after="0"/>
            </w:pPr>
          </w:p>
        </w:tc>
      </w:tr>
      <w:tr w:rsidR="009F2042" w:rsidRPr="005E432F" w:rsidTr="009F2042">
        <w:tc>
          <w:tcPr>
            <w:tcW w:w="9243" w:type="dxa"/>
            <w:gridSpan w:val="2"/>
            <w:tcBorders>
              <w:top w:val="single" w:sz="4" w:space="0" w:color="auto"/>
              <w:left w:val="nil"/>
              <w:bottom w:val="single" w:sz="4" w:space="0" w:color="auto"/>
              <w:right w:val="nil"/>
            </w:tcBorders>
          </w:tcPr>
          <w:p w:rsidR="009F2042" w:rsidRDefault="009F2042" w:rsidP="005218FA">
            <w:pPr>
              <w:spacing w:after="0"/>
            </w:pPr>
          </w:p>
        </w:tc>
      </w:tr>
      <w:tr w:rsidR="009F2042" w:rsidRPr="005E432F" w:rsidTr="009F2042">
        <w:tc>
          <w:tcPr>
            <w:tcW w:w="9243" w:type="dxa"/>
            <w:gridSpan w:val="2"/>
            <w:tcBorders>
              <w:top w:val="single" w:sz="4" w:space="0" w:color="auto"/>
              <w:left w:val="nil"/>
              <w:bottom w:val="single" w:sz="4" w:space="0" w:color="auto"/>
              <w:right w:val="nil"/>
            </w:tcBorders>
          </w:tcPr>
          <w:p w:rsidR="009F2042" w:rsidRDefault="009F2042" w:rsidP="005218FA">
            <w:pPr>
              <w:spacing w:after="0"/>
            </w:pPr>
          </w:p>
        </w:tc>
      </w:tr>
    </w:tbl>
    <w:p w:rsidR="002113B0" w:rsidRDefault="005068F5"/>
    <w:sectPr w:rsidR="002113B0" w:rsidSect="005218FA">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014" w:rsidRDefault="00203014" w:rsidP="00E35584">
      <w:pPr>
        <w:spacing w:before="0" w:after="0"/>
      </w:pPr>
      <w:r>
        <w:separator/>
      </w:r>
    </w:p>
  </w:endnote>
  <w:endnote w:type="continuationSeparator" w:id="0">
    <w:p w:rsidR="00203014" w:rsidRDefault="00203014" w:rsidP="00E3558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2105"/>
      <w:docPartObj>
        <w:docPartGallery w:val="Page Numbers (Bottom of Page)"/>
        <w:docPartUnique/>
      </w:docPartObj>
    </w:sdtPr>
    <w:sdtContent>
      <w:sdt>
        <w:sdtPr>
          <w:id w:val="565050477"/>
          <w:docPartObj>
            <w:docPartGallery w:val="Page Numbers (Top of Page)"/>
            <w:docPartUnique/>
          </w:docPartObj>
        </w:sdtPr>
        <w:sdtContent>
          <w:p w:rsidR="005218FA" w:rsidRPr="008A71E7" w:rsidRDefault="005218FA">
            <w:pPr>
              <w:pStyle w:val="Footer"/>
              <w:jc w:val="center"/>
            </w:pPr>
            <w:r>
              <w:t xml:space="preserve">Page </w:t>
            </w:r>
            <w:r w:rsidR="00C52ABF" w:rsidRPr="008A71E7">
              <w:fldChar w:fldCharType="begin"/>
            </w:r>
            <w:r w:rsidRPr="008A71E7">
              <w:instrText xml:space="preserve"> PAGE </w:instrText>
            </w:r>
            <w:r w:rsidR="00C52ABF" w:rsidRPr="008A71E7">
              <w:fldChar w:fldCharType="separate"/>
            </w:r>
            <w:r w:rsidR="005068F5">
              <w:rPr>
                <w:noProof/>
              </w:rPr>
              <w:t>1</w:t>
            </w:r>
            <w:r w:rsidR="00C52ABF" w:rsidRPr="008A71E7">
              <w:fldChar w:fldCharType="end"/>
            </w:r>
            <w:r>
              <w:t xml:space="preserve"> / </w:t>
            </w:r>
            <w:r w:rsidR="00C52ABF" w:rsidRPr="008A71E7">
              <w:fldChar w:fldCharType="begin"/>
            </w:r>
            <w:r w:rsidRPr="008A71E7">
              <w:instrText xml:space="preserve"> NUMPAGES  </w:instrText>
            </w:r>
            <w:r w:rsidR="00C52ABF" w:rsidRPr="008A71E7">
              <w:fldChar w:fldCharType="separate"/>
            </w:r>
            <w:r w:rsidR="005068F5">
              <w:rPr>
                <w:noProof/>
              </w:rPr>
              <w:t>2</w:t>
            </w:r>
            <w:r w:rsidR="00C52ABF" w:rsidRPr="008A71E7">
              <w:fldChar w:fldCharType="end"/>
            </w:r>
          </w:p>
        </w:sdtContent>
      </w:sdt>
    </w:sdtContent>
  </w:sdt>
  <w:p w:rsidR="005218FA" w:rsidRDefault="00521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014" w:rsidRDefault="00203014" w:rsidP="00E35584">
      <w:pPr>
        <w:spacing w:before="0" w:after="0"/>
      </w:pPr>
      <w:r>
        <w:separator/>
      </w:r>
    </w:p>
  </w:footnote>
  <w:footnote w:type="continuationSeparator" w:id="0">
    <w:p w:rsidR="00203014" w:rsidRDefault="00203014" w:rsidP="00E3558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84" w:rsidRPr="00E35584" w:rsidRDefault="00E35584" w:rsidP="00E35584">
    <w:pPr>
      <w:jc w:val="center"/>
      <w:rPr>
        <w:b/>
        <w:bCs/>
        <w:sz w:val="28"/>
        <w:szCs w:val="28"/>
      </w:rPr>
    </w:pPr>
    <w:r>
      <w:rPr>
        <w:b/>
        <w:bCs/>
        <w:color w:val="237990"/>
        <w:sz w:val="28"/>
        <w:szCs w:val="28"/>
      </w:rPr>
      <w:t>LISTE DE CONTRÔLE pour l'évaluation du port</w:t>
    </w:r>
  </w:p>
  <w:p w:rsidR="00E35584" w:rsidRDefault="00E35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3AB9"/>
    <w:multiLevelType w:val="hybridMultilevel"/>
    <w:tmpl w:val="23BE8252"/>
    <w:lvl w:ilvl="0" w:tplc="974E143E">
      <w:start w:val="1"/>
      <w:numFmt w:val="bullet"/>
      <w:lvlText w:val=""/>
      <w:lvlJc w:val="left"/>
      <w:pPr>
        <w:tabs>
          <w:tab w:val="num" w:pos="360"/>
        </w:tabs>
        <w:ind w:left="360" w:hanging="360"/>
      </w:pPr>
      <w:rPr>
        <w:rFonts w:ascii="Arial" w:hAnsi="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F97310"/>
    <w:multiLevelType w:val="hybridMultilevel"/>
    <w:tmpl w:val="F27AF648"/>
    <w:lvl w:ilvl="0" w:tplc="974E143E">
      <w:start w:val="1"/>
      <w:numFmt w:val="bullet"/>
      <w:lvlText w:val=""/>
      <w:lvlJc w:val="left"/>
      <w:pPr>
        <w:tabs>
          <w:tab w:val="num" w:pos="360"/>
        </w:tabs>
        <w:ind w:left="360" w:hanging="360"/>
      </w:pPr>
      <w:rPr>
        <w:rFonts w:ascii="Arial" w:hAnsi="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E7CCD"/>
    <w:multiLevelType w:val="hybridMultilevel"/>
    <w:tmpl w:val="30D49A80"/>
    <w:lvl w:ilvl="0" w:tplc="974E143E">
      <w:start w:val="1"/>
      <w:numFmt w:val="bullet"/>
      <w:lvlText w:val=""/>
      <w:lvlJc w:val="left"/>
      <w:pPr>
        <w:tabs>
          <w:tab w:val="num" w:pos="360"/>
        </w:tabs>
        <w:ind w:left="360" w:hanging="360"/>
      </w:pPr>
      <w:rPr>
        <w:rFonts w:ascii="Arial" w:hAnsi="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D40847"/>
    <w:multiLevelType w:val="hybridMultilevel"/>
    <w:tmpl w:val="6D92FDB6"/>
    <w:lvl w:ilvl="0" w:tplc="974E143E">
      <w:start w:val="1"/>
      <w:numFmt w:val="bullet"/>
      <w:lvlText w:val=""/>
      <w:lvlJc w:val="left"/>
      <w:pPr>
        <w:tabs>
          <w:tab w:val="num" w:pos="360"/>
        </w:tabs>
        <w:ind w:left="360" w:hanging="360"/>
      </w:pPr>
      <w:rPr>
        <w:rFonts w:ascii="Arial" w:hAnsi="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185032"/>
    <w:multiLevelType w:val="hybridMultilevel"/>
    <w:tmpl w:val="C6D8F1CE"/>
    <w:lvl w:ilvl="0" w:tplc="974E143E">
      <w:start w:val="1"/>
      <w:numFmt w:val="bullet"/>
      <w:lvlText w:val=""/>
      <w:lvlJc w:val="left"/>
      <w:pPr>
        <w:tabs>
          <w:tab w:val="num" w:pos="360"/>
        </w:tabs>
        <w:ind w:left="360" w:hanging="360"/>
      </w:pPr>
      <w:rPr>
        <w:rFonts w:ascii="Arial" w:hAnsi="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A31A9C"/>
    <w:multiLevelType w:val="hybridMultilevel"/>
    <w:tmpl w:val="080868BA"/>
    <w:lvl w:ilvl="0" w:tplc="974E143E">
      <w:start w:val="1"/>
      <w:numFmt w:val="bullet"/>
      <w:lvlText w:val=""/>
      <w:lvlJc w:val="left"/>
      <w:pPr>
        <w:tabs>
          <w:tab w:val="num" w:pos="360"/>
        </w:tabs>
        <w:ind w:left="360" w:hanging="360"/>
      </w:pPr>
      <w:rPr>
        <w:rFonts w:ascii="Arial" w:hAnsi="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A83D7F"/>
    <w:multiLevelType w:val="hybridMultilevel"/>
    <w:tmpl w:val="F698EDF2"/>
    <w:lvl w:ilvl="0" w:tplc="974E143E">
      <w:start w:val="1"/>
      <w:numFmt w:val="bullet"/>
      <w:lvlText w:val=""/>
      <w:lvlJc w:val="left"/>
      <w:pPr>
        <w:tabs>
          <w:tab w:val="num" w:pos="360"/>
        </w:tabs>
        <w:ind w:left="360" w:hanging="360"/>
      </w:pPr>
      <w:rPr>
        <w:rFonts w:ascii="Arial" w:hAnsi="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676749"/>
    <w:multiLevelType w:val="hybridMultilevel"/>
    <w:tmpl w:val="44ACF4CE"/>
    <w:lvl w:ilvl="0" w:tplc="974E143E">
      <w:start w:val="1"/>
      <w:numFmt w:val="bullet"/>
      <w:lvlText w:val=""/>
      <w:lvlJc w:val="left"/>
      <w:pPr>
        <w:tabs>
          <w:tab w:val="num" w:pos="360"/>
        </w:tabs>
        <w:ind w:left="360" w:hanging="360"/>
      </w:pPr>
      <w:rPr>
        <w:rFonts w:ascii="Arial" w:hAnsi="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5C0CF6"/>
    <w:multiLevelType w:val="hybridMultilevel"/>
    <w:tmpl w:val="DB304416"/>
    <w:lvl w:ilvl="0" w:tplc="974E143E">
      <w:start w:val="1"/>
      <w:numFmt w:val="bullet"/>
      <w:lvlText w:val=""/>
      <w:lvlJc w:val="left"/>
      <w:pPr>
        <w:tabs>
          <w:tab w:val="num" w:pos="360"/>
        </w:tabs>
        <w:ind w:left="360" w:hanging="360"/>
      </w:pPr>
      <w:rPr>
        <w:rFonts w:ascii="Arial" w:hAnsi="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6"/>
  </w:num>
  <w:num w:numId="6">
    <w:abstractNumId w:val="7"/>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2E46"/>
    <w:rsid w:val="00026341"/>
    <w:rsid w:val="000B75D5"/>
    <w:rsid w:val="000D6BD4"/>
    <w:rsid w:val="00163906"/>
    <w:rsid w:val="00165D64"/>
    <w:rsid w:val="00203014"/>
    <w:rsid w:val="002243F3"/>
    <w:rsid w:val="002305AD"/>
    <w:rsid w:val="00230F56"/>
    <w:rsid w:val="00277B39"/>
    <w:rsid w:val="002A2E6B"/>
    <w:rsid w:val="002A4D3B"/>
    <w:rsid w:val="002C62B9"/>
    <w:rsid w:val="002E0D1A"/>
    <w:rsid w:val="002F095D"/>
    <w:rsid w:val="00322DD7"/>
    <w:rsid w:val="00341B54"/>
    <w:rsid w:val="00343CA8"/>
    <w:rsid w:val="00371343"/>
    <w:rsid w:val="00380DC6"/>
    <w:rsid w:val="00404A18"/>
    <w:rsid w:val="00407BBC"/>
    <w:rsid w:val="00450D6B"/>
    <w:rsid w:val="004E103B"/>
    <w:rsid w:val="005068F5"/>
    <w:rsid w:val="005218FA"/>
    <w:rsid w:val="00523B4D"/>
    <w:rsid w:val="00580642"/>
    <w:rsid w:val="005B721B"/>
    <w:rsid w:val="005F38B3"/>
    <w:rsid w:val="00694826"/>
    <w:rsid w:val="006E21FF"/>
    <w:rsid w:val="006F6B6F"/>
    <w:rsid w:val="007670A7"/>
    <w:rsid w:val="00774B30"/>
    <w:rsid w:val="00784962"/>
    <w:rsid w:val="008A71E7"/>
    <w:rsid w:val="008B292D"/>
    <w:rsid w:val="008F2E46"/>
    <w:rsid w:val="00917A3F"/>
    <w:rsid w:val="00930090"/>
    <w:rsid w:val="00995C1D"/>
    <w:rsid w:val="009C06C2"/>
    <w:rsid w:val="009F2042"/>
    <w:rsid w:val="00A05DD7"/>
    <w:rsid w:val="00A16626"/>
    <w:rsid w:val="00A4605A"/>
    <w:rsid w:val="00A61817"/>
    <w:rsid w:val="00AD6B4D"/>
    <w:rsid w:val="00B01F32"/>
    <w:rsid w:val="00B86958"/>
    <w:rsid w:val="00BA1916"/>
    <w:rsid w:val="00BD1CD9"/>
    <w:rsid w:val="00C368F9"/>
    <w:rsid w:val="00C52ABF"/>
    <w:rsid w:val="00CA502F"/>
    <w:rsid w:val="00CB3586"/>
    <w:rsid w:val="00CC693D"/>
    <w:rsid w:val="00CE78FD"/>
    <w:rsid w:val="00D56E9A"/>
    <w:rsid w:val="00D72A37"/>
    <w:rsid w:val="00D83415"/>
    <w:rsid w:val="00DA5650"/>
    <w:rsid w:val="00E35584"/>
    <w:rsid w:val="00E92D80"/>
    <w:rsid w:val="00E945A7"/>
    <w:rsid w:val="00EB5641"/>
    <w:rsid w:val="00EC2458"/>
    <w:rsid w:val="00EE3CB0"/>
    <w:rsid w:val="00F2105C"/>
    <w:rsid w:val="00F506EB"/>
    <w:rsid w:val="00F64375"/>
    <w:rsid w:val="00FA082B"/>
    <w:rsid w:val="00FC1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table" w:styleId="TableGrid">
    <w:name w:val="Table Grid"/>
    <w:basedOn w:val="TableNormal"/>
    <w:uiPriority w:val="59"/>
    <w:rsid w:val="00E35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584"/>
    <w:pPr>
      <w:tabs>
        <w:tab w:val="center" w:pos="4680"/>
        <w:tab w:val="right" w:pos="9360"/>
      </w:tabs>
      <w:spacing w:before="0" w:after="0"/>
    </w:pPr>
  </w:style>
  <w:style w:type="character" w:customStyle="1" w:styleId="HeaderChar">
    <w:name w:val="Header Char"/>
    <w:basedOn w:val="DefaultParagraphFont"/>
    <w:link w:val="Header"/>
    <w:uiPriority w:val="99"/>
    <w:rsid w:val="00E35584"/>
  </w:style>
  <w:style w:type="paragraph" w:styleId="Footer">
    <w:name w:val="footer"/>
    <w:basedOn w:val="Normal"/>
    <w:link w:val="FooterChar"/>
    <w:uiPriority w:val="99"/>
    <w:unhideWhenUsed/>
    <w:rsid w:val="00E35584"/>
    <w:pPr>
      <w:tabs>
        <w:tab w:val="center" w:pos="4680"/>
        <w:tab w:val="right" w:pos="9360"/>
      </w:tabs>
      <w:spacing w:before="0" w:after="0"/>
    </w:pPr>
  </w:style>
  <w:style w:type="character" w:customStyle="1" w:styleId="FooterChar">
    <w:name w:val="Footer Char"/>
    <w:basedOn w:val="DefaultParagraphFont"/>
    <w:link w:val="Footer"/>
    <w:uiPriority w:val="99"/>
    <w:rsid w:val="00E35584"/>
  </w:style>
  <w:style w:type="paragraph" w:styleId="BalloonText">
    <w:name w:val="Balloon Text"/>
    <w:basedOn w:val="Normal"/>
    <w:link w:val="BalloonTextChar"/>
    <w:uiPriority w:val="99"/>
    <w:semiHidden/>
    <w:unhideWhenUsed/>
    <w:rsid w:val="00E355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5</cp:revision>
  <cp:lastPrinted>2016-06-02T14:23:00Z</cp:lastPrinted>
  <dcterms:created xsi:type="dcterms:W3CDTF">2018-01-21T19:32:00Z</dcterms:created>
  <dcterms:modified xsi:type="dcterms:W3CDTF">2018-02-02T14:01:00Z</dcterms:modified>
</cp:coreProperties>
</file>