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C" w:rsidRPr="008C5F95" w:rsidRDefault="00810A58" w:rsidP="002D3189">
      <w:p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8C5F95">
        <w:rPr>
          <w:rFonts w:asciiTheme="minorHAnsi" w:hAnsiTheme="minorHAnsi"/>
          <w:sz w:val="22"/>
          <w:szCs w:val="22"/>
          <w:lang w:val="fr-FR"/>
        </w:rPr>
        <w:t xml:space="preserve">Le nombre d'employés nécessaires pour effectuer des distributions efficientes et efficaces dépend de la taille de la communauté </w:t>
      </w:r>
      <w:r w:rsidR="00771432" w:rsidRPr="008C5F95">
        <w:rPr>
          <w:rFonts w:asciiTheme="minorHAnsi" w:hAnsiTheme="minorHAnsi"/>
          <w:sz w:val="22"/>
          <w:szCs w:val="22"/>
          <w:lang w:val="fr-FR"/>
        </w:rPr>
        <w:t>récipiendaire</w:t>
      </w:r>
      <w:r w:rsidRPr="008C5F95">
        <w:rPr>
          <w:rFonts w:asciiTheme="minorHAnsi" w:hAnsiTheme="minorHAnsi"/>
          <w:sz w:val="22"/>
          <w:szCs w:val="22"/>
          <w:lang w:val="fr-FR"/>
        </w:rPr>
        <w:t>, de la quantité de vivres distribués et de la fréquence des distributions. Au minimum, un nombre suffisant d'employés est requis pour couvrir les tâches suivantes</w:t>
      </w:r>
      <w:r w:rsidR="008B5E9B" w:rsidRPr="008C5F95"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109"/>
        <w:gridCol w:w="1109"/>
        <w:gridCol w:w="1109"/>
      </w:tblGrid>
      <w:tr w:rsidR="00687172" w:rsidRPr="008C5F95" w:rsidTr="00444DF2">
        <w:trPr>
          <w:cantSplit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8C5F95" w:rsidRDefault="00810A58" w:rsidP="00444DF2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Activités clés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8C5F95" w:rsidRDefault="00810A58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  <w:t>Gestion de programme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8C5F95" w:rsidRDefault="00810A58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  <w:t>Équipe de distribution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87172" w:rsidRPr="008C5F95" w:rsidRDefault="008C5F95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  <w:t>Acteurs locaux</w:t>
            </w:r>
          </w:p>
        </w:tc>
      </w:tr>
      <w:tr w:rsidR="00687172" w:rsidRPr="00807151" w:rsidTr="00444DF2">
        <w:tc>
          <w:tcPr>
            <w:tcW w:w="6048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8C5F95" w:rsidRDefault="00810A58" w:rsidP="00810A58">
            <w:pPr>
              <w:spacing w:before="120" w:after="40"/>
              <w:rPr>
                <w:rFonts w:asciiTheme="minorHAnsi" w:hAnsiTheme="minorHAnsi" w:cs="Arial"/>
                <w:b/>
                <w:color w:val="237990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>Compiler la liste des récipiendaires principaux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8C5F95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8C5F95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</w:tcPr>
          <w:p w:rsidR="00687172" w:rsidRPr="008C5F95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10A58" w:rsidRPr="008C5F95" w:rsidTr="004E62A7">
        <w:tc>
          <w:tcPr>
            <w:tcW w:w="6048" w:type="dxa"/>
            <w:tcBorders>
              <w:top w:val="single" w:sz="4" w:space="0" w:color="auto"/>
            </w:tcBorders>
          </w:tcPr>
          <w:p w:rsidR="00810A58" w:rsidRPr="008C5F95" w:rsidRDefault="00810A58" w:rsidP="00605F6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Introduire le projet / mobiliser la contribution de la communauté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4E62A7">
        <w:tc>
          <w:tcPr>
            <w:tcW w:w="6048" w:type="dxa"/>
            <w:tcBorders>
              <w:top w:val="single" w:sz="4" w:space="0" w:color="auto"/>
            </w:tcBorders>
          </w:tcPr>
          <w:p w:rsidR="00810A58" w:rsidRPr="008C5F95" w:rsidRDefault="00810A58" w:rsidP="00605F6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Identifier les récipiendaires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4E62A7">
        <w:tc>
          <w:tcPr>
            <w:tcW w:w="6048" w:type="dxa"/>
            <w:tcBorders>
              <w:top w:val="single" w:sz="4" w:space="0" w:color="auto"/>
            </w:tcBorders>
          </w:tcPr>
          <w:p w:rsidR="00810A58" w:rsidRPr="008C5F95" w:rsidRDefault="00810A58" w:rsidP="00810A58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 xml:space="preserve">Valider la liste des récipiendaires 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10A58" w:rsidRPr="008C5F95" w:rsidTr="004E62A7">
        <w:tc>
          <w:tcPr>
            <w:tcW w:w="6048" w:type="dxa"/>
            <w:tcBorders>
              <w:top w:val="single" w:sz="4" w:space="0" w:color="auto"/>
            </w:tcBorders>
          </w:tcPr>
          <w:p w:rsidR="00810A58" w:rsidRPr="008C5F95" w:rsidRDefault="00810A58" w:rsidP="00605F6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Identifier les sites de distribution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4E62A7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810A58" w:rsidRPr="008C5F95" w:rsidRDefault="00810A58" w:rsidP="0080715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 xml:space="preserve">Enregistrer les récipiendaires et </w:t>
            </w:r>
            <w:r w:rsidR="00807151">
              <w:rPr>
                <w:rFonts w:asciiTheme="minorHAnsi" w:hAnsiTheme="minorHAnsi" w:cstheme="minorHAnsi"/>
                <w:sz w:val="20"/>
                <w:lang w:val="fr-FR"/>
              </w:rPr>
              <w:t>d</w:t>
            </w: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é</w:t>
            </w:r>
            <w:r w:rsidR="00807151">
              <w:rPr>
                <w:rFonts w:asciiTheme="minorHAnsi" w:hAnsiTheme="minorHAnsi" w:cstheme="minorHAnsi"/>
                <w:sz w:val="20"/>
                <w:lang w:val="fr-FR"/>
              </w:rPr>
              <w:t>livrer</w:t>
            </w:r>
            <w:bookmarkStart w:id="0" w:name="_GoBack"/>
            <w:bookmarkEnd w:id="0"/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 xml:space="preserve"> des cartes d'identification / de ration (en cours)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687172" w:rsidRPr="008C5F95" w:rsidTr="004A796E">
        <w:tc>
          <w:tcPr>
            <w:tcW w:w="60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87172" w:rsidRPr="008C5F95" w:rsidRDefault="00810A58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>Planifier chaque distribution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</w:tr>
      <w:tr w:rsidR="00810A58" w:rsidRPr="008C5F95" w:rsidTr="00197341">
        <w:tc>
          <w:tcPr>
            <w:tcW w:w="6048" w:type="dxa"/>
          </w:tcPr>
          <w:p w:rsidR="00810A58" w:rsidRPr="008C5F95" w:rsidRDefault="00810A58" w:rsidP="001A35E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Développer un plan de distribution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10A58" w:rsidRPr="008C5F95" w:rsidTr="00197341">
        <w:tc>
          <w:tcPr>
            <w:tcW w:w="6048" w:type="dxa"/>
          </w:tcPr>
          <w:p w:rsidR="00810A58" w:rsidRPr="008C5F95" w:rsidRDefault="00810A58" w:rsidP="001A35E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Valider l'éligibilité et mettre à jour la liste de distribution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10A58" w:rsidRPr="008C5F95" w:rsidTr="00197341">
        <w:tc>
          <w:tcPr>
            <w:tcW w:w="6048" w:type="dxa"/>
          </w:tcPr>
          <w:p w:rsidR="00810A58" w:rsidRPr="008C5F95" w:rsidRDefault="00810A58" w:rsidP="001A35E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Finaliser le plan de distribution / préparer les listes de récipiendaires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10A58" w:rsidRPr="008C5F95" w:rsidTr="00197341">
        <w:tc>
          <w:tcPr>
            <w:tcW w:w="6048" w:type="dxa"/>
          </w:tcPr>
          <w:p w:rsidR="00810A58" w:rsidRPr="008C5F95" w:rsidRDefault="00810A58" w:rsidP="001A35E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Informer les récipiendaires de la distribution à venir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197341">
        <w:tc>
          <w:tcPr>
            <w:tcW w:w="6048" w:type="dxa"/>
          </w:tcPr>
          <w:p w:rsidR="00810A58" w:rsidRPr="008C5F95" w:rsidRDefault="00810A58" w:rsidP="001A35E7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Engager une main-d'œuvre suffisante pour assurer la distribution et assurer la sécurité et le contrôle des foules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197341">
        <w:tc>
          <w:tcPr>
            <w:tcW w:w="6048" w:type="dxa"/>
            <w:tcBorders>
              <w:bottom w:val="single" w:sz="4" w:space="0" w:color="auto"/>
            </w:tcBorders>
          </w:tcPr>
          <w:p w:rsidR="00810A58" w:rsidRPr="008C5F95" w:rsidRDefault="00810A58" w:rsidP="00810A58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Assurer le stockage sécurisé du site pour les vivres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687172" w:rsidRPr="00807151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8C5F95" w:rsidRDefault="008C5F95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>Réceptionner</w:t>
            </w:r>
            <w:r w:rsidR="00810A58"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 xml:space="preserve"> les vivres sur le site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FR"/>
              </w:rPr>
            </w:pPr>
          </w:p>
        </w:tc>
      </w:tr>
      <w:tr w:rsidR="00810A58" w:rsidRPr="008C5F95" w:rsidTr="001A7A9B">
        <w:tc>
          <w:tcPr>
            <w:tcW w:w="6048" w:type="dxa"/>
          </w:tcPr>
          <w:p w:rsidR="00810A58" w:rsidRPr="008C5F95" w:rsidRDefault="00810A58" w:rsidP="0008529F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Décharger et compter les vivres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10A58" w:rsidRPr="008C5F95" w:rsidTr="001A7A9B">
        <w:tc>
          <w:tcPr>
            <w:tcW w:w="6048" w:type="dxa"/>
          </w:tcPr>
          <w:p w:rsidR="00810A58" w:rsidRPr="008C5F95" w:rsidRDefault="00810A58" w:rsidP="0008529F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Documenter les dommages ou les pertes de vivres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10A58" w:rsidRPr="008C5F95" w:rsidTr="001A7A9B">
        <w:tc>
          <w:tcPr>
            <w:tcW w:w="6048" w:type="dxa"/>
            <w:tcBorders>
              <w:bottom w:val="single" w:sz="4" w:space="0" w:color="auto"/>
            </w:tcBorders>
          </w:tcPr>
          <w:p w:rsidR="00810A58" w:rsidRPr="008C5F95" w:rsidRDefault="00810A58" w:rsidP="0008529F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Concilier et signer la lettre de transport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10A58" w:rsidRPr="008C5F95" w:rsidRDefault="00810A58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687172" w:rsidRPr="00807151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8C5F95" w:rsidRDefault="008926EC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>Préparer le site de distribution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8926EC" w:rsidRPr="008C5F95" w:rsidTr="00CA3BB9">
        <w:tc>
          <w:tcPr>
            <w:tcW w:w="6048" w:type="dxa"/>
          </w:tcPr>
          <w:p w:rsidR="008926EC" w:rsidRPr="008C5F95" w:rsidRDefault="008926EC" w:rsidP="008507D3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Assembler l'équipement de distribution (y compris les bannières et les rations)</w:t>
            </w: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926EC" w:rsidRPr="008C5F95" w:rsidTr="00CA3BB9">
        <w:tc>
          <w:tcPr>
            <w:tcW w:w="6048" w:type="dxa"/>
          </w:tcPr>
          <w:p w:rsidR="008926EC" w:rsidRPr="008C5F95" w:rsidRDefault="00771432" w:rsidP="008507D3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Organiser les vivre</w:t>
            </w:r>
            <w:r w:rsidR="008926EC" w:rsidRPr="008C5F95">
              <w:rPr>
                <w:rFonts w:asciiTheme="minorHAnsi" w:hAnsiTheme="minorHAnsi" w:cstheme="minorHAnsi"/>
                <w:sz w:val="20"/>
                <w:lang w:val="fr-FR"/>
              </w:rPr>
              <w:t>s et les installations du site</w:t>
            </w: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8926EC" w:rsidRPr="008C5F95" w:rsidTr="00CA3BB9">
        <w:tc>
          <w:tcPr>
            <w:tcW w:w="6048" w:type="dxa"/>
            <w:tcBorders>
              <w:bottom w:val="single" w:sz="4" w:space="0" w:color="auto"/>
            </w:tcBorders>
          </w:tcPr>
          <w:p w:rsidR="008926EC" w:rsidRPr="008C5F95" w:rsidRDefault="008926EC" w:rsidP="008507D3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lang w:val="fr-FR"/>
              </w:rPr>
              <w:t>Assurer la sécurité du site et le contrôle des foules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926EC" w:rsidRPr="008C5F95" w:rsidRDefault="008926EC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lang w:val="fr-FR"/>
              </w:rPr>
              <w:t>X</w:t>
            </w:r>
          </w:p>
        </w:tc>
      </w:tr>
      <w:tr w:rsidR="00687172" w:rsidRPr="008C5F95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8C5F95" w:rsidRDefault="008926EC" w:rsidP="00444DF2">
            <w:pPr>
              <w:tabs>
                <w:tab w:val="left" w:pos="1139"/>
              </w:tabs>
              <w:spacing w:before="120" w:after="40"/>
              <w:rPr>
                <w:rFonts w:asciiTheme="minorHAnsi" w:hAnsiTheme="minorHAnsi" w:cs="Arial"/>
                <w:b/>
                <w:color w:val="237990"/>
                <w:lang w:val="fr-FR"/>
              </w:rPr>
            </w:pPr>
            <w:r w:rsidRPr="008C5F95">
              <w:rPr>
                <w:rFonts w:asciiTheme="minorHAnsi" w:hAnsiTheme="minorHAnsi" w:cs="Arial"/>
                <w:b/>
                <w:color w:val="237990"/>
                <w:sz w:val="22"/>
                <w:szCs w:val="22"/>
                <w:lang w:val="fr-FR"/>
              </w:rPr>
              <w:t>Distribuer les vivres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8C5F95" w:rsidRDefault="00687172" w:rsidP="004A796E">
            <w:pPr>
              <w:jc w:val="center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771432" w:rsidRPr="008C5F95" w:rsidTr="00862277">
        <w:tc>
          <w:tcPr>
            <w:tcW w:w="6048" w:type="dxa"/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Sensibiliser la communauté sur le donateur, les droits et la méthode d’utilisation alimentaire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862277">
        <w:tc>
          <w:tcPr>
            <w:tcW w:w="6048" w:type="dxa"/>
          </w:tcPr>
          <w:p w:rsidR="00771432" w:rsidRPr="008C5F95" w:rsidRDefault="00771432" w:rsidP="009F2B1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Fournir des services d'assistance et résoudre les problèmes de rétroaction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862277">
        <w:tc>
          <w:tcPr>
            <w:tcW w:w="6048" w:type="dxa"/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Vérifier l'éligibilité du récipiendaire et marquer les cartes de rationnement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862277">
        <w:tc>
          <w:tcPr>
            <w:tcW w:w="6048" w:type="dxa"/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Mesurer / distribuer les vivres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862277">
        <w:tc>
          <w:tcPr>
            <w:tcW w:w="6048" w:type="dxa"/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Vérifier la réception de la ration des vivres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444DF2" w:rsidRPr="00807151" w:rsidTr="004A796E"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DF2" w:rsidRPr="008C5F95" w:rsidRDefault="008926EC" w:rsidP="005351DA">
            <w:pPr>
              <w:spacing w:before="120" w:after="40"/>
              <w:rPr>
                <w:rFonts w:asciiTheme="minorHAnsi" w:hAnsiTheme="minorHAnsi" w:cstheme="minorHAnsi"/>
                <w:b/>
                <w:color w:val="237990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color w:val="237990"/>
                <w:sz w:val="20"/>
                <w:szCs w:val="20"/>
                <w:lang w:val="fr-FR"/>
              </w:rPr>
              <w:t>Le suivi de la distribution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8C5F95" w:rsidRDefault="00444DF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8C5F95" w:rsidRDefault="00444DF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8C5F95" w:rsidRDefault="00444DF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71432" w:rsidRPr="008C5F95" w:rsidTr="00AF0AB2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Réconcilier les vivres reçus sur le site avec ceux distribués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71432" w:rsidRPr="008C5F95" w:rsidTr="00AF0AB2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2" w:rsidRPr="008C5F95" w:rsidRDefault="00771432" w:rsidP="007714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Transférer l'excédent de vivres et les conteneurs vides selon les procédures standards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AF0AB2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2" w:rsidRPr="008C5F95" w:rsidRDefault="00771432" w:rsidP="003E5AF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Nettoyer proprement le site après la distribution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</w:tr>
      <w:tr w:rsidR="00771432" w:rsidRPr="008C5F95" w:rsidTr="00AF0AB2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2" w:rsidRPr="008C5F95" w:rsidRDefault="00771432" w:rsidP="003E5AF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Préparer le rapport sur les points de distribution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5F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X</w:t>
            </w:r>
          </w:p>
        </w:tc>
        <w:tc>
          <w:tcPr>
            <w:tcW w:w="1109" w:type="dxa"/>
            <w:vAlign w:val="center"/>
          </w:tcPr>
          <w:p w:rsidR="00771432" w:rsidRPr="008C5F95" w:rsidRDefault="00771432" w:rsidP="004A79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261BE6" w:rsidRPr="008C5F95" w:rsidRDefault="00261BE6" w:rsidP="00060C4B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261BE6" w:rsidRPr="008C5F95" w:rsidSect="00BE1A7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A3" w:rsidRDefault="008623A3" w:rsidP="00261BE6">
      <w:r>
        <w:separator/>
      </w:r>
    </w:p>
  </w:endnote>
  <w:endnote w:type="continuationSeparator" w:id="0">
    <w:p w:rsidR="008623A3" w:rsidRDefault="008623A3" w:rsidP="0026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91472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261BE6" w:rsidRPr="002D3189" w:rsidRDefault="00261BE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3189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3189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40678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D3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0678">
              <w:rPr>
                <w:rFonts w:asciiTheme="minorHAnsi" w:hAnsiTheme="minorHAnsi"/>
                <w:sz w:val="22"/>
                <w:szCs w:val="22"/>
              </w:rPr>
              <w:t>/</w:t>
            </w:r>
            <w:r w:rsidRPr="002D31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3189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40678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462B98" w:rsidRPr="002D318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61BE6" w:rsidRDefault="00261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A3" w:rsidRDefault="008623A3" w:rsidP="00261BE6">
      <w:r>
        <w:separator/>
      </w:r>
    </w:p>
  </w:footnote>
  <w:footnote w:type="continuationSeparator" w:id="0">
    <w:p w:rsidR="008623A3" w:rsidRDefault="008623A3" w:rsidP="0026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E6" w:rsidRPr="00810A58" w:rsidRDefault="00810A58" w:rsidP="00261BE6">
    <w:pPr>
      <w:pStyle w:val="Header"/>
      <w:jc w:val="center"/>
      <w:rPr>
        <w:rFonts w:asciiTheme="minorHAnsi" w:hAnsiTheme="minorHAnsi"/>
        <w:sz w:val="28"/>
        <w:szCs w:val="28"/>
        <w:lang w:val="fr-FR"/>
      </w:rPr>
    </w:pPr>
    <w:r>
      <w:rPr>
        <w:rFonts w:asciiTheme="minorHAnsi" w:hAnsiTheme="minorHAnsi"/>
        <w:b/>
        <w:color w:val="237990"/>
        <w:sz w:val="28"/>
        <w:szCs w:val="28"/>
        <w:lang w:val="fr-FR"/>
      </w:rPr>
      <w:t>DIRECTIVES sur les responsabilités des membres de l’équipe de distribution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B92"/>
    <w:multiLevelType w:val="hybridMultilevel"/>
    <w:tmpl w:val="92229272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4A6"/>
    <w:multiLevelType w:val="hybridMultilevel"/>
    <w:tmpl w:val="394A5D20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661F13"/>
    <w:multiLevelType w:val="hybridMultilevel"/>
    <w:tmpl w:val="947C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5336A"/>
    <w:multiLevelType w:val="hybridMultilevel"/>
    <w:tmpl w:val="3C223038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C40DD4"/>
    <w:multiLevelType w:val="hybridMultilevel"/>
    <w:tmpl w:val="82AA4DE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E6"/>
    <w:rsid w:val="00026341"/>
    <w:rsid w:val="000350B6"/>
    <w:rsid w:val="0004054C"/>
    <w:rsid w:val="00047926"/>
    <w:rsid w:val="00060C4B"/>
    <w:rsid w:val="00063F92"/>
    <w:rsid w:val="00070839"/>
    <w:rsid w:val="00084B71"/>
    <w:rsid w:val="000A6BEA"/>
    <w:rsid w:val="000B75D5"/>
    <w:rsid w:val="001361B0"/>
    <w:rsid w:val="00165D64"/>
    <w:rsid w:val="00167FEE"/>
    <w:rsid w:val="00211C3C"/>
    <w:rsid w:val="002243F3"/>
    <w:rsid w:val="002305AD"/>
    <w:rsid w:val="00230F56"/>
    <w:rsid w:val="00261BE6"/>
    <w:rsid w:val="002C206F"/>
    <w:rsid w:val="002D3189"/>
    <w:rsid w:val="002E0D1A"/>
    <w:rsid w:val="002E5690"/>
    <w:rsid w:val="002F6240"/>
    <w:rsid w:val="0031309E"/>
    <w:rsid w:val="00317055"/>
    <w:rsid w:val="00341623"/>
    <w:rsid w:val="00341B54"/>
    <w:rsid w:val="00344402"/>
    <w:rsid w:val="00371343"/>
    <w:rsid w:val="003B4D19"/>
    <w:rsid w:val="00404A18"/>
    <w:rsid w:val="00407BBC"/>
    <w:rsid w:val="004409B3"/>
    <w:rsid w:val="00444DF2"/>
    <w:rsid w:val="00462B98"/>
    <w:rsid w:val="00462F77"/>
    <w:rsid w:val="00477376"/>
    <w:rsid w:val="004A796E"/>
    <w:rsid w:val="004B3ECF"/>
    <w:rsid w:val="004E103B"/>
    <w:rsid w:val="00527136"/>
    <w:rsid w:val="005351DA"/>
    <w:rsid w:val="005847D8"/>
    <w:rsid w:val="005B721B"/>
    <w:rsid w:val="005B7548"/>
    <w:rsid w:val="00634A39"/>
    <w:rsid w:val="00675B67"/>
    <w:rsid w:val="00687172"/>
    <w:rsid w:val="00701CA3"/>
    <w:rsid w:val="00771432"/>
    <w:rsid w:val="00777F0E"/>
    <w:rsid w:val="00797708"/>
    <w:rsid w:val="007A0465"/>
    <w:rsid w:val="007A10ED"/>
    <w:rsid w:val="00807151"/>
    <w:rsid w:val="00810A58"/>
    <w:rsid w:val="008468AB"/>
    <w:rsid w:val="008623A3"/>
    <w:rsid w:val="008870FD"/>
    <w:rsid w:val="008926EC"/>
    <w:rsid w:val="008B5E9B"/>
    <w:rsid w:val="008C5645"/>
    <w:rsid w:val="008C5F95"/>
    <w:rsid w:val="008C72CF"/>
    <w:rsid w:val="009210EA"/>
    <w:rsid w:val="009A05AE"/>
    <w:rsid w:val="00A00EEA"/>
    <w:rsid w:val="00A05DD7"/>
    <w:rsid w:val="00A16626"/>
    <w:rsid w:val="00A30908"/>
    <w:rsid w:val="00A61817"/>
    <w:rsid w:val="00AC48C3"/>
    <w:rsid w:val="00AD6C31"/>
    <w:rsid w:val="00B36DC5"/>
    <w:rsid w:val="00B86958"/>
    <w:rsid w:val="00BA7B76"/>
    <w:rsid w:val="00BB76B3"/>
    <w:rsid w:val="00BE1A79"/>
    <w:rsid w:val="00BE7AFD"/>
    <w:rsid w:val="00C10987"/>
    <w:rsid w:val="00C665BF"/>
    <w:rsid w:val="00CA502F"/>
    <w:rsid w:val="00CC693D"/>
    <w:rsid w:val="00D57BD9"/>
    <w:rsid w:val="00D61108"/>
    <w:rsid w:val="00D62096"/>
    <w:rsid w:val="00DD71E5"/>
    <w:rsid w:val="00DF1A5C"/>
    <w:rsid w:val="00E16BCC"/>
    <w:rsid w:val="00E40678"/>
    <w:rsid w:val="00E57C9E"/>
    <w:rsid w:val="00EE3F46"/>
    <w:rsid w:val="00F23B3B"/>
    <w:rsid w:val="00F31F6D"/>
    <w:rsid w:val="00F4013A"/>
    <w:rsid w:val="00FC36DC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6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E6"/>
  </w:style>
  <w:style w:type="paragraph" w:styleId="Footer">
    <w:name w:val="footer"/>
    <w:basedOn w:val="Normal"/>
    <w:link w:val="FooterChar"/>
    <w:uiPriority w:val="99"/>
    <w:unhideWhenUsed/>
    <w:rsid w:val="0026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E6"/>
  </w:style>
  <w:style w:type="paragraph" w:styleId="BalloonText">
    <w:name w:val="Balloon Text"/>
    <w:basedOn w:val="Normal"/>
    <w:link w:val="BalloonTextChar"/>
    <w:uiPriority w:val="99"/>
    <w:semiHidden/>
    <w:unhideWhenUsed/>
    <w:rsid w:val="0026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2016-06-04T10:52:00Z</cp:lastPrinted>
  <dcterms:created xsi:type="dcterms:W3CDTF">2018-01-25T12:55:00Z</dcterms:created>
  <dcterms:modified xsi:type="dcterms:W3CDTF">2018-02-05T17:16:00Z</dcterms:modified>
</cp:coreProperties>
</file>