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90"/>
        <w:gridCol w:w="7353"/>
      </w:tblGrid>
      <w:tr w:rsidR="00DC5DA8" w:rsidRPr="008F550F" w:rsidTr="00370662">
        <w:tc>
          <w:tcPr>
            <w:tcW w:w="1890" w:type="dxa"/>
          </w:tcPr>
          <w:p w:rsidR="00DC5DA8" w:rsidRPr="00C67B17" w:rsidRDefault="00C2558A" w:rsidP="00C67B17">
            <w:pPr>
              <w:spacing w:before="60" w:after="60" w:line="252" w:lineRule="auto"/>
              <w:rPr>
                <w:b/>
                <w:sz w:val="20"/>
                <w:szCs w:val="20"/>
              </w:rPr>
            </w:pPr>
            <w:r w:rsidRPr="00C67B17">
              <w:rPr>
                <w:b/>
                <w:sz w:val="20"/>
                <w:szCs w:val="20"/>
              </w:rPr>
              <w:t xml:space="preserve">Annual Estimate of Requirements  </w:t>
            </w:r>
            <w:r w:rsidR="00DC305C" w:rsidRPr="00C67B17">
              <w:rPr>
                <w:b/>
                <w:sz w:val="20"/>
                <w:szCs w:val="20"/>
              </w:rPr>
              <w:t>(</w:t>
            </w:r>
            <w:r w:rsidR="00DC5DA8" w:rsidRPr="00C67B17">
              <w:rPr>
                <w:b/>
                <w:sz w:val="20"/>
                <w:szCs w:val="20"/>
              </w:rPr>
              <w:t>AER</w:t>
            </w:r>
            <w:r w:rsidR="00DC305C" w:rsidRPr="00C67B17">
              <w:rPr>
                <w:b/>
                <w:sz w:val="20"/>
                <w:szCs w:val="20"/>
              </w:rPr>
              <w:t>)</w:t>
            </w:r>
          </w:p>
        </w:tc>
        <w:tc>
          <w:tcPr>
            <w:tcW w:w="7353" w:type="dxa"/>
          </w:tcPr>
          <w:p w:rsidR="009A2EFC" w:rsidRPr="00C67B17" w:rsidRDefault="00C2558A" w:rsidP="00C67B17">
            <w:pPr>
              <w:spacing w:before="60" w:after="60" w:line="252" w:lineRule="auto"/>
              <w:rPr>
                <w:sz w:val="20"/>
                <w:szCs w:val="20"/>
              </w:rPr>
            </w:pPr>
            <w:r w:rsidRPr="00C67B17">
              <w:rPr>
                <w:sz w:val="20"/>
                <w:szCs w:val="20"/>
              </w:rPr>
              <w:t>The</w:t>
            </w:r>
            <w:r w:rsidR="00DC5DA8" w:rsidRPr="00C67B17">
              <w:rPr>
                <w:sz w:val="20"/>
                <w:szCs w:val="20"/>
              </w:rPr>
              <w:t xml:space="preserve"> </w:t>
            </w:r>
            <w:r w:rsidR="009A2EFC" w:rsidRPr="00C67B17">
              <w:rPr>
                <w:sz w:val="20"/>
                <w:szCs w:val="20"/>
              </w:rPr>
              <w:t xml:space="preserve">statement of the tonnage of commodities proposed by the Awardee for approval for the upcoming fiscal year, </w:t>
            </w:r>
            <w:r w:rsidR="00835096">
              <w:rPr>
                <w:sz w:val="20"/>
                <w:szCs w:val="20"/>
              </w:rPr>
              <w:t>which lists</w:t>
            </w:r>
            <w:r w:rsidR="009A2EFC" w:rsidRPr="00C67B17">
              <w:rPr>
                <w:sz w:val="20"/>
                <w:szCs w:val="20"/>
              </w:rPr>
              <w:t xml:space="preserve"> when during the upcoming year the commodity will be called forward from the U</w:t>
            </w:r>
            <w:r w:rsidR="00835096">
              <w:rPr>
                <w:sz w:val="20"/>
                <w:szCs w:val="20"/>
              </w:rPr>
              <w:t>.</w:t>
            </w:r>
            <w:r w:rsidR="009A2EFC" w:rsidRPr="00C67B17">
              <w:rPr>
                <w:sz w:val="20"/>
                <w:szCs w:val="20"/>
              </w:rPr>
              <w:t>S.</w:t>
            </w:r>
            <w:r w:rsidRPr="00C67B17">
              <w:rPr>
                <w:sz w:val="20"/>
                <w:szCs w:val="20"/>
              </w:rPr>
              <w:t xml:space="preserve"> </w:t>
            </w:r>
            <w:r w:rsidR="009A2EFC" w:rsidRPr="00C67B17">
              <w:rPr>
                <w:sz w:val="20"/>
                <w:szCs w:val="20"/>
              </w:rPr>
              <w:t>The AER is based on a commodity pipeline analysis.</w:t>
            </w:r>
          </w:p>
          <w:p w:rsidR="009A2EFC" w:rsidRPr="00C67B17" w:rsidRDefault="009A2EFC" w:rsidP="00C67B17">
            <w:pPr>
              <w:spacing w:before="60" w:after="60" w:line="252" w:lineRule="auto"/>
              <w:rPr>
                <w:sz w:val="20"/>
                <w:szCs w:val="20"/>
              </w:rPr>
            </w:pPr>
            <w:r w:rsidRPr="00C67B17">
              <w:rPr>
                <w:sz w:val="20"/>
                <w:szCs w:val="20"/>
              </w:rPr>
              <w:t>While the AER basically requests data for one full fiscal year, estimated requirements for the period October 1 to January 30 of the following year (in other words, a total estimate for 16 months) is required to ensure a continuous pipeline.</w:t>
            </w:r>
          </w:p>
        </w:tc>
      </w:tr>
      <w:tr w:rsidR="00370662" w:rsidRPr="008F550F" w:rsidTr="00370662">
        <w:tc>
          <w:tcPr>
            <w:tcW w:w="1890" w:type="dxa"/>
          </w:tcPr>
          <w:p w:rsidR="00370662" w:rsidRPr="00C67B17" w:rsidRDefault="00370662" w:rsidP="00C67B17">
            <w:pPr>
              <w:spacing w:before="60" w:after="60" w:line="252" w:lineRule="auto"/>
              <w:rPr>
                <w:b/>
                <w:sz w:val="20"/>
                <w:szCs w:val="20"/>
              </w:rPr>
            </w:pPr>
            <w:r w:rsidRPr="00C67B17">
              <w:rPr>
                <w:b/>
                <w:sz w:val="20"/>
                <w:szCs w:val="20"/>
              </w:rPr>
              <w:t>Audit</w:t>
            </w:r>
          </w:p>
        </w:tc>
        <w:tc>
          <w:tcPr>
            <w:tcW w:w="7353" w:type="dxa"/>
          </w:tcPr>
          <w:p w:rsidR="00220783" w:rsidRPr="00C67B17" w:rsidRDefault="00370662" w:rsidP="00835096">
            <w:pPr>
              <w:spacing w:before="60" w:after="60" w:line="252" w:lineRule="auto"/>
              <w:rPr>
                <w:sz w:val="20"/>
                <w:szCs w:val="20"/>
              </w:rPr>
            </w:pPr>
            <w:r w:rsidRPr="00C67B17">
              <w:rPr>
                <w:sz w:val="20"/>
                <w:szCs w:val="20"/>
              </w:rPr>
              <w:t xml:space="preserve">An examination of </w:t>
            </w:r>
            <w:r w:rsidR="0088124D" w:rsidRPr="00C67B17">
              <w:rPr>
                <w:sz w:val="20"/>
                <w:szCs w:val="20"/>
              </w:rPr>
              <w:t>an organi</w:t>
            </w:r>
            <w:r w:rsidR="00835096">
              <w:rPr>
                <w:sz w:val="20"/>
                <w:szCs w:val="20"/>
              </w:rPr>
              <w:t>z</w:t>
            </w:r>
            <w:r w:rsidR="0088124D" w:rsidRPr="00C67B17">
              <w:rPr>
                <w:sz w:val="20"/>
                <w:szCs w:val="20"/>
              </w:rPr>
              <w:t>ation’s accounts, processes, functions</w:t>
            </w:r>
            <w:r w:rsidR="00835096">
              <w:rPr>
                <w:sz w:val="20"/>
                <w:szCs w:val="20"/>
              </w:rPr>
              <w:t>,</w:t>
            </w:r>
            <w:r w:rsidR="0088124D" w:rsidRPr="00C67B17">
              <w:rPr>
                <w:sz w:val="20"/>
                <w:szCs w:val="20"/>
              </w:rPr>
              <w:t xml:space="preserve"> and performance to produce an independent and credible assessment of </w:t>
            </w:r>
            <w:r w:rsidR="00835096">
              <w:rPr>
                <w:sz w:val="20"/>
                <w:szCs w:val="20"/>
              </w:rPr>
              <w:t>its</w:t>
            </w:r>
            <w:r w:rsidR="0088124D" w:rsidRPr="00C67B17">
              <w:rPr>
                <w:sz w:val="20"/>
                <w:szCs w:val="20"/>
              </w:rPr>
              <w:t xml:space="preserve"> compliance with applicable laws, policies, accounting standards</w:t>
            </w:r>
            <w:r w:rsidR="00835096">
              <w:rPr>
                <w:sz w:val="20"/>
                <w:szCs w:val="20"/>
              </w:rPr>
              <w:t>,</w:t>
            </w:r>
            <w:r w:rsidR="0088124D" w:rsidRPr="00C67B17">
              <w:rPr>
                <w:sz w:val="20"/>
                <w:szCs w:val="20"/>
              </w:rPr>
              <w:t xml:space="preserve"> and regulations.</w:t>
            </w:r>
            <w:r w:rsidRPr="00C67B17">
              <w:rPr>
                <w:sz w:val="20"/>
                <w:szCs w:val="20"/>
              </w:rPr>
              <w:t xml:space="preserve"> </w:t>
            </w:r>
            <w:r w:rsidR="00220783" w:rsidRPr="00C67B17">
              <w:rPr>
                <w:sz w:val="20"/>
                <w:szCs w:val="20"/>
              </w:rPr>
              <w:t>It is a quality assurance activity designed to add value and improve an organi</w:t>
            </w:r>
            <w:r w:rsidR="00835096">
              <w:rPr>
                <w:sz w:val="20"/>
                <w:szCs w:val="20"/>
              </w:rPr>
              <w:t>z</w:t>
            </w:r>
            <w:r w:rsidR="00220783" w:rsidRPr="00C67B17">
              <w:rPr>
                <w:sz w:val="20"/>
                <w:szCs w:val="20"/>
              </w:rPr>
              <w:t xml:space="preserve">ation’s operations. </w:t>
            </w:r>
            <w:r w:rsidR="00835096">
              <w:rPr>
                <w:sz w:val="20"/>
                <w:szCs w:val="20"/>
              </w:rPr>
              <w:t>A</w:t>
            </w:r>
            <w:r w:rsidR="00220783" w:rsidRPr="00C67B17">
              <w:rPr>
                <w:sz w:val="20"/>
                <w:szCs w:val="20"/>
              </w:rPr>
              <w:t xml:space="preserve"> unit reporting to management</w:t>
            </w:r>
            <w:r w:rsidR="00835096" w:rsidRPr="00C67B17">
              <w:rPr>
                <w:sz w:val="20"/>
                <w:szCs w:val="20"/>
              </w:rPr>
              <w:t xml:space="preserve"> usually undertake</w:t>
            </w:r>
            <w:r w:rsidR="00835096">
              <w:rPr>
                <w:sz w:val="20"/>
                <w:szCs w:val="20"/>
              </w:rPr>
              <w:t>s i</w:t>
            </w:r>
            <w:r w:rsidR="00835096" w:rsidRPr="00C67B17">
              <w:rPr>
                <w:sz w:val="20"/>
                <w:szCs w:val="20"/>
              </w:rPr>
              <w:t>nternal auditing</w:t>
            </w:r>
            <w:r w:rsidR="00220783" w:rsidRPr="00C67B17">
              <w:rPr>
                <w:sz w:val="20"/>
                <w:szCs w:val="20"/>
              </w:rPr>
              <w:t xml:space="preserve">. </w:t>
            </w:r>
            <w:r w:rsidR="0088124D" w:rsidRPr="00C67B17">
              <w:rPr>
                <w:sz w:val="20"/>
                <w:szCs w:val="20"/>
              </w:rPr>
              <w:t xml:space="preserve"> </w:t>
            </w:r>
            <w:r w:rsidR="00220783" w:rsidRPr="00C67B17">
              <w:rPr>
                <w:sz w:val="20"/>
                <w:szCs w:val="20"/>
              </w:rPr>
              <w:t xml:space="preserve">External auditing is conducted by an independent professional </w:t>
            </w:r>
            <w:r w:rsidR="00835096">
              <w:rPr>
                <w:sz w:val="20"/>
                <w:szCs w:val="20"/>
              </w:rPr>
              <w:t>firm</w:t>
            </w:r>
            <w:r w:rsidR="00220783" w:rsidRPr="00C67B17">
              <w:rPr>
                <w:sz w:val="20"/>
                <w:szCs w:val="20"/>
              </w:rPr>
              <w:t>.</w:t>
            </w:r>
          </w:p>
        </w:tc>
      </w:tr>
      <w:tr w:rsidR="001515D1" w:rsidRPr="008F550F" w:rsidTr="00370662">
        <w:tc>
          <w:tcPr>
            <w:tcW w:w="1890" w:type="dxa"/>
          </w:tcPr>
          <w:p w:rsidR="001515D1" w:rsidRPr="00C67B17" w:rsidRDefault="001515D1" w:rsidP="00C67B17">
            <w:pPr>
              <w:spacing w:before="60" w:after="60" w:line="252" w:lineRule="auto"/>
              <w:rPr>
                <w:b/>
                <w:sz w:val="20"/>
                <w:szCs w:val="20"/>
              </w:rPr>
            </w:pPr>
            <w:r w:rsidRPr="00C67B17">
              <w:rPr>
                <w:b/>
                <w:bCs/>
                <w:sz w:val="20"/>
                <w:szCs w:val="20"/>
              </w:rPr>
              <w:t>Award</w:t>
            </w:r>
          </w:p>
        </w:tc>
        <w:tc>
          <w:tcPr>
            <w:tcW w:w="7353" w:type="dxa"/>
          </w:tcPr>
          <w:p w:rsidR="001515D1" w:rsidRPr="00C67B17" w:rsidRDefault="001515D1" w:rsidP="000A1921">
            <w:pPr>
              <w:autoSpaceDE w:val="0"/>
              <w:autoSpaceDN w:val="0"/>
              <w:adjustRightInd w:val="0"/>
              <w:spacing w:before="60" w:after="60" w:line="252" w:lineRule="auto"/>
              <w:rPr>
                <w:rFonts w:cs="Calibri"/>
                <w:sz w:val="20"/>
                <w:szCs w:val="20"/>
              </w:rPr>
            </w:pPr>
            <w:r w:rsidRPr="00C67B17">
              <w:rPr>
                <w:rFonts w:cs="Calibri"/>
                <w:sz w:val="20"/>
                <w:szCs w:val="20"/>
              </w:rPr>
              <w:t>An agreement between FFP and the applicant organization</w:t>
            </w:r>
            <w:r w:rsidR="00835096">
              <w:rPr>
                <w:rFonts w:cs="Calibri"/>
                <w:sz w:val="20"/>
                <w:szCs w:val="20"/>
              </w:rPr>
              <w:t>,</w:t>
            </w:r>
            <w:r w:rsidRPr="00C67B17">
              <w:rPr>
                <w:rFonts w:cs="Calibri"/>
                <w:sz w:val="20"/>
                <w:szCs w:val="20"/>
              </w:rPr>
              <w:t xml:space="preserve"> describing the proposed use of commodity. Awards typically include indicators and results, a budget, and other terms and conditions applicable to the work performed under the Award.</w:t>
            </w:r>
          </w:p>
        </w:tc>
      </w:tr>
      <w:tr w:rsidR="00FE17B7" w:rsidRPr="008F550F" w:rsidTr="00370662">
        <w:tc>
          <w:tcPr>
            <w:tcW w:w="1890" w:type="dxa"/>
          </w:tcPr>
          <w:p w:rsidR="00FE17B7" w:rsidRPr="00C67B17" w:rsidRDefault="00FE17B7" w:rsidP="00C67B17">
            <w:pPr>
              <w:spacing w:before="60" w:after="60" w:line="252" w:lineRule="auto"/>
              <w:rPr>
                <w:b/>
                <w:sz w:val="20"/>
                <w:szCs w:val="20"/>
              </w:rPr>
            </w:pPr>
            <w:r w:rsidRPr="00C67B17">
              <w:rPr>
                <w:b/>
                <w:sz w:val="20"/>
                <w:szCs w:val="20"/>
              </w:rPr>
              <w:t>Awardee</w:t>
            </w:r>
          </w:p>
        </w:tc>
        <w:tc>
          <w:tcPr>
            <w:tcW w:w="7353" w:type="dxa"/>
          </w:tcPr>
          <w:p w:rsidR="00FE17B7" w:rsidRPr="00C67B17" w:rsidRDefault="00CB373E" w:rsidP="00C67B17">
            <w:pPr>
              <w:autoSpaceDE w:val="0"/>
              <w:autoSpaceDN w:val="0"/>
              <w:adjustRightInd w:val="0"/>
              <w:spacing w:before="60" w:after="60" w:line="252" w:lineRule="auto"/>
              <w:rPr>
                <w:rFonts w:cs="Calibri"/>
                <w:sz w:val="20"/>
                <w:szCs w:val="20"/>
              </w:rPr>
            </w:pPr>
            <w:r w:rsidRPr="00C67B17">
              <w:rPr>
                <w:rFonts w:cs="Calibri"/>
                <w:sz w:val="20"/>
                <w:szCs w:val="20"/>
              </w:rPr>
              <w:t>T</w:t>
            </w:r>
            <w:r w:rsidR="00F31588" w:rsidRPr="00C67B17">
              <w:rPr>
                <w:rFonts w:cs="Calibri"/>
                <w:sz w:val="20"/>
                <w:szCs w:val="20"/>
              </w:rPr>
              <w:t>he entity (such as a PVO, a cooperative, or another private or public agency) that enters into an agreement with the U.S. Government to use Title II agricultural commodities and/or fu</w:t>
            </w:r>
            <w:r w:rsidR="00AB2E5B">
              <w:rPr>
                <w:rFonts w:cs="Calibri"/>
                <w:sz w:val="20"/>
                <w:szCs w:val="20"/>
              </w:rPr>
              <w:t>nds, including local currencies</w:t>
            </w:r>
          </w:p>
        </w:tc>
      </w:tr>
      <w:tr w:rsidR="00370662" w:rsidRPr="008F550F" w:rsidTr="00370662">
        <w:tc>
          <w:tcPr>
            <w:tcW w:w="1890" w:type="dxa"/>
          </w:tcPr>
          <w:p w:rsidR="00370662" w:rsidRPr="00C67B17" w:rsidRDefault="00370662" w:rsidP="00C67B17">
            <w:pPr>
              <w:spacing w:before="60" w:after="60" w:line="252" w:lineRule="auto"/>
              <w:rPr>
                <w:b/>
                <w:sz w:val="20"/>
                <w:szCs w:val="20"/>
              </w:rPr>
            </w:pPr>
            <w:r w:rsidRPr="00C67B17">
              <w:rPr>
                <w:b/>
                <w:sz w:val="20"/>
                <w:szCs w:val="20"/>
              </w:rPr>
              <w:t>Beneficiary</w:t>
            </w:r>
          </w:p>
        </w:tc>
        <w:tc>
          <w:tcPr>
            <w:tcW w:w="7353" w:type="dxa"/>
          </w:tcPr>
          <w:p w:rsidR="00370662" w:rsidRPr="00C67B17" w:rsidRDefault="000A1921" w:rsidP="00C67B17">
            <w:pPr>
              <w:autoSpaceDE w:val="0"/>
              <w:autoSpaceDN w:val="0"/>
              <w:adjustRightInd w:val="0"/>
              <w:spacing w:before="60" w:after="60" w:line="252" w:lineRule="auto"/>
              <w:rPr>
                <w:sz w:val="20"/>
                <w:szCs w:val="20"/>
                <w:highlight w:val="yellow"/>
              </w:rPr>
            </w:pPr>
            <w:r>
              <w:rPr>
                <w:rFonts w:cs="Calibri"/>
                <w:sz w:val="20"/>
                <w:szCs w:val="20"/>
              </w:rPr>
              <w:t>A person</w:t>
            </w:r>
            <w:r w:rsidR="007B551F" w:rsidRPr="00C67B17">
              <w:rPr>
                <w:rFonts w:cs="Calibri"/>
                <w:sz w:val="20"/>
                <w:szCs w:val="20"/>
              </w:rPr>
              <w:t xml:space="preserve"> who benefits from a FFP-funded program, such as someone who receives training, technical assistance, or other services funded under a Title II program. However, if no food rations are provided</w:t>
            </w:r>
            <w:r w:rsidR="00835096">
              <w:rPr>
                <w:rFonts w:cs="Calibri"/>
                <w:sz w:val="20"/>
                <w:szCs w:val="20"/>
              </w:rPr>
              <w:t>,</w:t>
            </w:r>
            <w:r w:rsidR="007B551F" w:rsidRPr="00C67B17">
              <w:rPr>
                <w:rFonts w:cs="Calibri"/>
                <w:sz w:val="20"/>
                <w:szCs w:val="20"/>
              </w:rPr>
              <w:t xml:space="preserve"> the beneficiary is not classified as a recipient. (See </w:t>
            </w:r>
            <w:r w:rsidR="00835096">
              <w:rPr>
                <w:rFonts w:cs="Calibri"/>
                <w:sz w:val="20"/>
                <w:szCs w:val="20"/>
              </w:rPr>
              <w:t>“</w:t>
            </w:r>
            <w:r w:rsidR="007B551F" w:rsidRPr="00C67B17">
              <w:rPr>
                <w:rFonts w:cs="Calibri"/>
                <w:sz w:val="20"/>
                <w:szCs w:val="20"/>
              </w:rPr>
              <w:t>Recipient</w:t>
            </w:r>
            <w:r w:rsidR="00835096">
              <w:rPr>
                <w:rFonts w:cs="Calibri"/>
                <w:sz w:val="20"/>
                <w:szCs w:val="20"/>
              </w:rPr>
              <w:t>”</w:t>
            </w:r>
            <w:r w:rsidR="007B551F" w:rsidRPr="00C67B17">
              <w:rPr>
                <w:rFonts w:cs="Calibri"/>
                <w:sz w:val="20"/>
                <w:szCs w:val="20"/>
              </w:rPr>
              <w:t xml:space="preserve"> definition below</w:t>
            </w:r>
            <w:r w:rsidR="00835096">
              <w:rPr>
                <w:rFonts w:cs="Calibri"/>
                <w:sz w:val="20"/>
                <w:szCs w:val="20"/>
              </w:rPr>
              <w:t>.</w:t>
            </w:r>
            <w:r w:rsidR="007B551F" w:rsidRPr="00C67B17">
              <w:rPr>
                <w:rFonts w:cs="Calibri"/>
                <w:sz w:val="20"/>
                <w:szCs w:val="20"/>
              </w:rPr>
              <w:t>)</w:t>
            </w:r>
            <w:r w:rsidR="00835096">
              <w:rPr>
                <w:rFonts w:cs="Calibri"/>
                <w:sz w:val="20"/>
                <w:szCs w:val="20"/>
              </w:rPr>
              <w:t xml:space="preserve"> </w:t>
            </w:r>
            <w:r w:rsidR="001A15FF" w:rsidRPr="00C67B17">
              <w:rPr>
                <w:rFonts w:cs="Calibri"/>
                <w:sz w:val="20"/>
                <w:szCs w:val="20"/>
              </w:rPr>
              <w:t>USID FFP currently uses the ter</w:t>
            </w:r>
            <w:r w:rsidR="00E612BD">
              <w:rPr>
                <w:rFonts w:cs="Calibri"/>
                <w:sz w:val="20"/>
                <w:szCs w:val="20"/>
              </w:rPr>
              <w:t>m</w:t>
            </w:r>
            <w:r w:rsidR="00835096">
              <w:rPr>
                <w:rFonts w:cs="Calibri"/>
                <w:sz w:val="20"/>
                <w:szCs w:val="20"/>
              </w:rPr>
              <w:t xml:space="preserve"> “project participant”</w:t>
            </w:r>
            <w:r w:rsidR="001A15FF" w:rsidRPr="00C67B17">
              <w:rPr>
                <w:rFonts w:cs="Calibri"/>
                <w:sz w:val="20"/>
                <w:szCs w:val="20"/>
              </w:rPr>
              <w:t xml:space="preserve"> instead of beneficiary.</w:t>
            </w:r>
          </w:p>
        </w:tc>
      </w:tr>
      <w:tr w:rsidR="00835096" w:rsidRPr="008F550F" w:rsidTr="00370662">
        <w:tc>
          <w:tcPr>
            <w:tcW w:w="1890" w:type="dxa"/>
          </w:tcPr>
          <w:p w:rsidR="00835096" w:rsidRPr="00C67B17" w:rsidRDefault="00835096" w:rsidP="00835096">
            <w:pPr>
              <w:spacing w:before="60" w:after="60" w:line="252" w:lineRule="auto"/>
              <w:rPr>
                <w:b/>
                <w:bCs/>
                <w:sz w:val="20"/>
                <w:szCs w:val="20"/>
              </w:rPr>
            </w:pPr>
            <w:r w:rsidRPr="00C67B17">
              <w:rPr>
                <w:b/>
                <w:sz w:val="20"/>
                <w:szCs w:val="20"/>
              </w:rPr>
              <w:t>Best if Used By Date</w:t>
            </w:r>
            <w:r w:rsidRPr="00C67B17">
              <w:rPr>
                <w:b/>
                <w:bCs/>
                <w:sz w:val="20"/>
                <w:szCs w:val="20"/>
              </w:rPr>
              <w:t xml:space="preserve"> (BUBD)</w:t>
            </w:r>
          </w:p>
        </w:tc>
        <w:tc>
          <w:tcPr>
            <w:tcW w:w="7353" w:type="dxa"/>
          </w:tcPr>
          <w:p w:rsidR="00835096" w:rsidRPr="00C67B17" w:rsidRDefault="00835096" w:rsidP="00835096">
            <w:pPr>
              <w:spacing w:before="60" w:after="60" w:line="252" w:lineRule="auto"/>
              <w:rPr>
                <w:sz w:val="20"/>
                <w:szCs w:val="20"/>
              </w:rPr>
            </w:pPr>
            <w:r w:rsidRPr="00C67B17">
              <w:rPr>
                <w:sz w:val="20"/>
                <w:szCs w:val="20"/>
              </w:rPr>
              <w:t>The date until which the commodity is expected to retain its quality.  Commodity may be good even after the BUBD, but it is advisable to get the product tested after this date before deciding to distribute it.  BUBD is based on the commodity shelf life, or the average amount of time a specific commodity may be stored without nutritional or organoleptic (sensory) deterioration.  The shelf life, and therefore the BUBD, can be shortened by poor storage practices.</w:t>
            </w:r>
          </w:p>
        </w:tc>
      </w:tr>
      <w:tr w:rsidR="00835096" w:rsidRPr="008F550F" w:rsidTr="00370662">
        <w:tc>
          <w:tcPr>
            <w:tcW w:w="1890" w:type="dxa"/>
          </w:tcPr>
          <w:p w:rsidR="00835096" w:rsidRPr="00C67B17" w:rsidRDefault="00835096" w:rsidP="00835096">
            <w:pPr>
              <w:spacing w:before="60" w:after="60" w:line="252" w:lineRule="auto"/>
              <w:rPr>
                <w:b/>
                <w:sz w:val="20"/>
                <w:szCs w:val="20"/>
              </w:rPr>
            </w:pPr>
            <w:r w:rsidRPr="00C67B17">
              <w:rPr>
                <w:b/>
                <w:bCs/>
                <w:sz w:val="20"/>
                <w:szCs w:val="20"/>
              </w:rPr>
              <w:t xml:space="preserve">Bonded </w:t>
            </w:r>
            <w:r>
              <w:rPr>
                <w:b/>
                <w:bCs/>
                <w:sz w:val="20"/>
                <w:szCs w:val="20"/>
              </w:rPr>
              <w:t>w</w:t>
            </w:r>
            <w:r w:rsidRPr="00C67B17">
              <w:rPr>
                <w:b/>
                <w:bCs/>
                <w:sz w:val="20"/>
                <w:szCs w:val="20"/>
              </w:rPr>
              <w:t>arehouse</w:t>
            </w:r>
          </w:p>
        </w:tc>
        <w:tc>
          <w:tcPr>
            <w:tcW w:w="7353" w:type="dxa"/>
          </w:tcPr>
          <w:p w:rsidR="00835096" w:rsidRPr="00C67B17" w:rsidRDefault="00835096" w:rsidP="00835096">
            <w:pPr>
              <w:spacing w:before="60" w:after="60" w:line="252" w:lineRule="auto"/>
              <w:rPr>
                <w:sz w:val="20"/>
                <w:szCs w:val="20"/>
              </w:rPr>
            </w:pPr>
            <w:r w:rsidRPr="00C67B17">
              <w:rPr>
                <w:sz w:val="20"/>
                <w:szCs w:val="20"/>
              </w:rPr>
              <w:t>A warehouse authorized by local customs officials for the storage of commodities on which payment of duties is deferred until the commodities</w:t>
            </w:r>
            <w:r w:rsidR="00AB2E5B">
              <w:rPr>
                <w:sz w:val="20"/>
                <w:szCs w:val="20"/>
              </w:rPr>
              <w:t xml:space="preserve"> are removed</w:t>
            </w:r>
          </w:p>
        </w:tc>
      </w:tr>
      <w:tr w:rsidR="00835096" w:rsidRPr="008F550F" w:rsidTr="00370662">
        <w:tc>
          <w:tcPr>
            <w:tcW w:w="1890" w:type="dxa"/>
          </w:tcPr>
          <w:p w:rsidR="00835096" w:rsidRPr="00C67B17" w:rsidRDefault="00835096" w:rsidP="00835096">
            <w:pPr>
              <w:spacing w:before="60" w:after="60" w:line="252" w:lineRule="auto"/>
              <w:rPr>
                <w:b/>
                <w:sz w:val="20"/>
                <w:szCs w:val="20"/>
              </w:rPr>
            </w:pPr>
            <w:r w:rsidRPr="00C67B17">
              <w:rPr>
                <w:b/>
                <w:bCs/>
                <w:sz w:val="20"/>
                <w:szCs w:val="20"/>
              </w:rPr>
              <w:t>Branding</w:t>
            </w:r>
          </w:p>
        </w:tc>
        <w:tc>
          <w:tcPr>
            <w:tcW w:w="7353" w:type="dxa"/>
          </w:tcPr>
          <w:p w:rsidR="00835096" w:rsidRPr="00C67B17" w:rsidRDefault="00835096" w:rsidP="00835096">
            <w:pPr>
              <w:spacing w:before="60" w:after="60" w:line="252" w:lineRule="auto"/>
              <w:rPr>
                <w:sz w:val="20"/>
                <w:szCs w:val="20"/>
              </w:rPr>
            </w:pPr>
            <w:r w:rsidRPr="00C67B17">
              <w:rPr>
                <w:sz w:val="20"/>
                <w:szCs w:val="20"/>
              </w:rPr>
              <w:t>The process of developing an identity for a product or service using images and words, such as logos and slogans, to evoke a positive emotional</w:t>
            </w:r>
            <w:r w:rsidR="00AB2E5B">
              <w:rPr>
                <w:sz w:val="20"/>
                <w:szCs w:val="20"/>
              </w:rPr>
              <w:t xml:space="preserve"> response in targeted audiences</w:t>
            </w:r>
          </w:p>
        </w:tc>
      </w:tr>
      <w:tr w:rsidR="00835096" w:rsidRPr="008F550F" w:rsidTr="00370662">
        <w:tc>
          <w:tcPr>
            <w:tcW w:w="1890" w:type="dxa"/>
          </w:tcPr>
          <w:p w:rsidR="00835096" w:rsidRPr="00C67B17" w:rsidRDefault="00835096" w:rsidP="00835096">
            <w:pPr>
              <w:spacing w:before="60" w:after="60" w:line="252" w:lineRule="auto"/>
              <w:rPr>
                <w:b/>
                <w:sz w:val="20"/>
                <w:szCs w:val="20"/>
              </w:rPr>
            </w:pPr>
            <w:r w:rsidRPr="00C67B17">
              <w:rPr>
                <w:b/>
                <w:sz w:val="20"/>
                <w:szCs w:val="20"/>
              </w:rPr>
              <w:t>Break bulk commodity</w:t>
            </w:r>
          </w:p>
        </w:tc>
        <w:tc>
          <w:tcPr>
            <w:tcW w:w="7353" w:type="dxa"/>
          </w:tcPr>
          <w:p w:rsidR="00835096" w:rsidRPr="00C67B17" w:rsidRDefault="00835096" w:rsidP="00835096">
            <w:pPr>
              <w:spacing w:before="60" w:after="60" w:line="252" w:lineRule="auto"/>
              <w:rPr>
                <w:sz w:val="20"/>
                <w:szCs w:val="20"/>
              </w:rPr>
            </w:pPr>
            <w:r w:rsidRPr="00C67B17">
              <w:rPr>
                <w:sz w:val="20"/>
                <w:szCs w:val="20"/>
              </w:rPr>
              <w:t>Commodity that is pre-packed in individual containers (e.g., bags, tins), stacked in the ship’s hold</w:t>
            </w:r>
            <w:r>
              <w:rPr>
                <w:sz w:val="20"/>
                <w:szCs w:val="20"/>
              </w:rPr>
              <w:t>,</w:t>
            </w:r>
            <w:r w:rsidRPr="00C67B17">
              <w:rPr>
                <w:sz w:val="20"/>
                <w:szCs w:val="20"/>
              </w:rPr>
              <w:t xml:space="preserve"> and discharged from the vessel to the dock by crane or </w:t>
            </w:r>
            <w:r w:rsidR="00AB2E5B">
              <w:rPr>
                <w:sz w:val="20"/>
                <w:szCs w:val="20"/>
              </w:rPr>
              <w:t>manual labor</w:t>
            </w:r>
          </w:p>
        </w:tc>
      </w:tr>
      <w:tr w:rsidR="00835096" w:rsidRPr="008F550F" w:rsidTr="00A37972">
        <w:tc>
          <w:tcPr>
            <w:tcW w:w="1890" w:type="dxa"/>
            <w:tcBorders>
              <w:bottom w:val="single" w:sz="4" w:space="0" w:color="auto"/>
            </w:tcBorders>
          </w:tcPr>
          <w:p w:rsidR="00835096" w:rsidRPr="00C67B17" w:rsidRDefault="00835096" w:rsidP="00835096">
            <w:pPr>
              <w:spacing w:before="60" w:after="60" w:line="252" w:lineRule="auto"/>
              <w:rPr>
                <w:b/>
                <w:sz w:val="20"/>
                <w:szCs w:val="20"/>
              </w:rPr>
            </w:pPr>
            <w:r w:rsidRPr="00C67B17">
              <w:rPr>
                <w:b/>
                <w:bCs/>
                <w:sz w:val="20"/>
                <w:szCs w:val="20"/>
              </w:rPr>
              <w:t>Bulk commodity</w:t>
            </w:r>
          </w:p>
        </w:tc>
        <w:tc>
          <w:tcPr>
            <w:tcW w:w="7353" w:type="dxa"/>
            <w:tcBorders>
              <w:bottom w:val="single" w:sz="4" w:space="0" w:color="auto"/>
            </w:tcBorders>
          </w:tcPr>
          <w:p w:rsidR="00835096" w:rsidRPr="00C67B17" w:rsidRDefault="00835096" w:rsidP="00835096">
            <w:pPr>
              <w:spacing w:before="60" w:after="60" w:line="252" w:lineRule="auto"/>
              <w:rPr>
                <w:sz w:val="20"/>
                <w:szCs w:val="20"/>
              </w:rPr>
            </w:pPr>
            <w:r w:rsidRPr="00C67B17">
              <w:rPr>
                <w:sz w:val="20"/>
                <w:szCs w:val="20"/>
              </w:rPr>
              <w:t>Loose commodity that is loaded directly into a ship's hold. It is either bagged in the ship’s hold before discharge</w:t>
            </w:r>
            <w:r w:rsidR="00AB2E5B">
              <w:rPr>
                <w:sz w:val="20"/>
                <w:szCs w:val="20"/>
              </w:rPr>
              <w:t>,</w:t>
            </w:r>
            <w:r w:rsidRPr="00C67B17">
              <w:rPr>
                <w:sz w:val="20"/>
                <w:szCs w:val="20"/>
              </w:rPr>
              <w:t xml:space="preserve"> or transferred by vacuum equipment from the hold and bagged by machine on the dock. Bags may be shipped with the commodity or, with FFP approval, purchased locally.</w:t>
            </w:r>
          </w:p>
        </w:tc>
      </w:tr>
    </w:tbl>
    <w:p w:rsidR="00AB2E5B" w:rsidRDefault="00AB2E5B">
      <w:r>
        <w:br w:type="page"/>
      </w:r>
    </w:p>
    <w:tbl>
      <w:tblPr>
        <w:tblStyle w:val="TableGrid"/>
        <w:tblW w:w="0" w:type="auto"/>
        <w:tblLook w:val="04A0" w:firstRow="1" w:lastRow="0" w:firstColumn="1" w:lastColumn="0" w:noHBand="0" w:noVBand="1"/>
      </w:tblPr>
      <w:tblGrid>
        <w:gridCol w:w="1890"/>
        <w:gridCol w:w="7353"/>
      </w:tblGrid>
      <w:tr w:rsidR="00835096" w:rsidRPr="008F550F" w:rsidTr="00370662">
        <w:tc>
          <w:tcPr>
            <w:tcW w:w="1890" w:type="dxa"/>
          </w:tcPr>
          <w:p w:rsidR="00835096" w:rsidRPr="00C67B17" w:rsidRDefault="00835096" w:rsidP="00835096">
            <w:pPr>
              <w:spacing w:before="60" w:after="60" w:line="252" w:lineRule="auto"/>
              <w:rPr>
                <w:b/>
                <w:sz w:val="20"/>
                <w:szCs w:val="20"/>
              </w:rPr>
            </w:pPr>
            <w:r w:rsidRPr="00C67B17">
              <w:rPr>
                <w:b/>
                <w:sz w:val="20"/>
                <w:szCs w:val="20"/>
              </w:rPr>
              <w:lastRenderedPageBreak/>
              <w:t xml:space="preserve">Call </w:t>
            </w:r>
            <w:r w:rsidR="00AB2E5B">
              <w:rPr>
                <w:b/>
                <w:sz w:val="20"/>
                <w:szCs w:val="20"/>
              </w:rPr>
              <w:t>f</w:t>
            </w:r>
            <w:r w:rsidRPr="00C67B17">
              <w:rPr>
                <w:b/>
                <w:sz w:val="20"/>
                <w:szCs w:val="20"/>
              </w:rPr>
              <w:t>orward</w:t>
            </w:r>
          </w:p>
          <w:p w:rsidR="00835096" w:rsidRPr="00C67B17" w:rsidRDefault="00835096" w:rsidP="00AB2E5B">
            <w:pPr>
              <w:spacing w:before="60" w:after="60" w:line="252" w:lineRule="auto"/>
              <w:rPr>
                <w:b/>
                <w:sz w:val="20"/>
                <w:szCs w:val="20"/>
              </w:rPr>
            </w:pPr>
            <w:r w:rsidRPr="00494ECC">
              <w:rPr>
                <w:sz w:val="20"/>
                <w:szCs w:val="20"/>
              </w:rPr>
              <w:t xml:space="preserve">(see </w:t>
            </w:r>
            <w:r w:rsidR="00AB2E5B" w:rsidRPr="00494ECC">
              <w:rPr>
                <w:sz w:val="20"/>
                <w:szCs w:val="20"/>
              </w:rPr>
              <w:t>also</w:t>
            </w:r>
            <w:r w:rsidR="00494ECC" w:rsidRPr="00494ECC">
              <w:rPr>
                <w:sz w:val="20"/>
                <w:szCs w:val="20"/>
              </w:rPr>
              <w:t>:</w:t>
            </w:r>
            <w:r w:rsidR="00AB2E5B">
              <w:rPr>
                <w:b/>
                <w:sz w:val="20"/>
                <w:szCs w:val="20"/>
              </w:rPr>
              <w:t xml:space="preserve"> </w:t>
            </w:r>
            <w:r w:rsidRPr="00C67B17">
              <w:rPr>
                <w:b/>
                <w:sz w:val="20"/>
                <w:szCs w:val="20"/>
              </w:rPr>
              <w:t xml:space="preserve">Sales </w:t>
            </w:r>
            <w:r w:rsidR="00AB2E5B">
              <w:rPr>
                <w:b/>
                <w:sz w:val="20"/>
                <w:szCs w:val="20"/>
              </w:rPr>
              <w:t>o</w:t>
            </w:r>
            <w:r w:rsidRPr="00C67B17">
              <w:rPr>
                <w:b/>
                <w:sz w:val="20"/>
                <w:szCs w:val="20"/>
              </w:rPr>
              <w:t>rder</w:t>
            </w:r>
            <w:r w:rsidRPr="00494ECC">
              <w:rPr>
                <w:sz w:val="20"/>
                <w:szCs w:val="20"/>
              </w:rPr>
              <w:t>)</w:t>
            </w:r>
          </w:p>
        </w:tc>
        <w:tc>
          <w:tcPr>
            <w:tcW w:w="7353" w:type="dxa"/>
          </w:tcPr>
          <w:p w:rsidR="00835096" w:rsidRPr="00C67B17" w:rsidRDefault="00835096" w:rsidP="00835096">
            <w:pPr>
              <w:autoSpaceDE w:val="0"/>
              <w:autoSpaceDN w:val="0"/>
              <w:adjustRightInd w:val="0"/>
              <w:spacing w:before="60" w:after="60" w:line="252" w:lineRule="auto"/>
              <w:rPr>
                <w:rFonts w:eastAsia="Times New Roman" w:cs="Arial"/>
                <w:sz w:val="20"/>
                <w:szCs w:val="20"/>
              </w:rPr>
            </w:pPr>
            <w:r w:rsidRPr="00C67B17">
              <w:rPr>
                <w:rFonts w:eastAsia="Times New Roman" w:cs="Arial"/>
                <w:sz w:val="20"/>
                <w:szCs w:val="20"/>
              </w:rPr>
              <w:t>A request to the donor (</w:t>
            </w:r>
            <w:r w:rsidRPr="00C67B17">
              <w:rPr>
                <w:rFonts w:cs="Calibri"/>
                <w:sz w:val="20"/>
                <w:szCs w:val="20"/>
              </w:rPr>
              <w:t>online</w:t>
            </w:r>
            <w:r w:rsidR="00AB2E5B">
              <w:rPr>
                <w:rFonts w:cs="Calibri"/>
                <w:sz w:val="20"/>
                <w:szCs w:val="20"/>
              </w:rPr>
              <w:t>,</w:t>
            </w:r>
            <w:r w:rsidRPr="00C67B17">
              <w:rPr>
                <w:rFonts w:cs="Calibri"/>
                <w:sz w:val="20"/>
                <w:szCs w:val="20"/>
              </w:rPr>
              <w:t xml:space="preserve"> through USDA’s WBSCM commodity procurement system) </w:t>
            </w:r>
            <w:r w:rsidRPr="00C67B17">
              <w:rPr>
                <w:rFonts w:eastAsia="Times New Roman" w:cs="Arial"/>
                <w:sz w:val="20"/>
                <w:szCs w:val="20"/>
              </w:rPr>
              <w:t>for delivery of a specified amount of commodity to a particular country program for use</w:t>
            </w:r>
            <w:r w:rsidR="00AB2E5B">
              <w:rPr>
                <w:rFonts w:eastAsia="Times New Roman" w:cs="Arial"/>
                <w:sz w:val="20"/>
                <w:szCs w:val="20"/>
              </w:rPr>
              <w:t xml:space="preserve"> at specified periods of time. </w:t>
            </w:r>
            <w:r w:rsidRPr="00C67B17">
              <w:rPr>
                <w:rFonts w:eastAsia="Times New Roman" w:cs="Arial"/>
                <w:sz w:val="20"/>
                <w:szCs w:val="20"/>
              </w:rPr>
              <w:t xml:space="preserve">Once approved, the donor procures the commodity and arranges with the PVO for shipment to </w:t>
            </w:r>
            <w:r w:rsidR="00AB2E5B">
              <w:rPr>
                <w:rFonts w:eastAsia="Times New Roman" w:cs="Arial"/>
                <w:sz w:val="20"/>
                <w:szCs w:val="20"/>
              </w:rPr>
              <w:t xml:space="preserve">the particular country office. </w:t>
            </w:r>
          </w:p>
          <w:p w:rsidR="00835096" w:rsidRPr="00C67B17" w:rsidRDefault="00835096" w:rsidP="00835096">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A call forward is based on a commodity pipeline analysis and the quantity of commo</w:t>
            </w:r>
            <w:r w:rsidR="00AB2E5B">
              <w:rPr>
                <w:rFonts w:eastAsia="Times New Roman" w:cs="Times New Roman"/>
                <w:sz w:val="20"/>
                <w:szCs w:val="20"/>
              </w:rPr>
              <w:t xml:space="preserve">dity planned for distribution. </w:t>
            </w:r>
          </w:p>
          <w:p w:rsidR="00835096" w:rsidRPr="00C67B17" w:rsidRDefault="00835096" w:rsidP="00835096">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 xml:space="preserve">A call forward generally covers projected quarterly needs although intervals may vary depending on program need. </w:t>
            </w:r>
          </w:p>
          <w:p w:rsidR="00835096" w:rsidRPr="00C67B17" w:rsidRDefault="00835096" w:rsidP="00835096">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Submission deadlines are listed in the annual projected schedule established by the donor.</w:t>
            </w:r>
          </w:p>
        </w:tc>
      </w:tr>
      <w:tr w:rsidR="00835096" w:rsidRPr="008F550F" w:rsidTr="00A37972">
        <w:tc>
          <w:tcPr>
            <w:tcW w:w="1890" w:type="dxa"/>
            <w:tcBorders>
              <w:bottom w:val="single" w:sz="4" w:space="0" w:color="auto"/>
            </w:tcBorders>
          </w:tcPr>
          <w:p w:rsidR="00835096" w:rsidRPr="00C67B17" w:rsidRDefault="00835096" w:rsidP="00835096">
            <w:pPr>
              <w:spacing w:before="60" w:after="60" w:line="252" w:lineRule="auto"/>
              <w:rPr>
                <w:b/>
                <w:bCs/>
                <w:sz w:val="20"/>
                <w:szCs w:val="20"/>
              </w:rPr>
            </w:pPr>
            <w:r w:rsidRPr="00C67B17">
              <w:rPr>
                <w:b/>
                <w:bCs/>
                <w:sz w:val="20"/>
                <w:szCs w:val="20"/>
              </w:rPr>
              <w:t>Cargo</w:t>
            </w:r>
          </w:p>
        </w:tc>
        <w:tc>
          <w:tcPr>
            <w:tcW w:w="7353" w:type="dxa"/>
            <w:tcBorders>
              <w:bottom w:val="single" w:sz="4" w:space="0" w:color="auto"/>
            </w:tcBorders>
          </w:tcPr>
          <w:p w:rsidR="00835096" w:rsidRPr="00C67B17" w:rsidRDefault="00835096" w:rsidP="00AB2E5B">
            <w:pPr>
              <w:spacing w:before="60" w:after="60" w:line="252" w:lineRule="auto"/>
              <w:rPr>
                <w:sz w:val="20"/>
                <w:szCs w:val="20"/>
              </w:rPr>
            </w:pPr>
            <w:r w:rsidRPr="00C67B17">
              <w:rPr>
                <w:sz w:val="20"/>
                <w:szCs w:val="20"/>
              </w:rPr>
              <w:t xml:space="preserve">Goods (such as commodities) carried </w:t>
            </w:r>
            <w:r w:rsidR="00C61B67">
              <w:rPr>
                <w:sz w:val="20"/>
                <w:szCs w:val="20"/>
              </w:rPr>
              <w:t>on a ship, aircraft, or vehicle</w:t>
            </w:r>
          </w:p>
        </w:tc>
      </w:tr>
      <w:tr w:rsidR="00C61B67" w:rsidRPr="008F550F" w:rsidTr="00A37972">
        <w:tc>
          <w:tcPr>
            <w:tcW w:w="1890" w:type="dxa"/>
            <w:tcBorders>
              <w:bottom w:val="single" w:sz="4" w:space="0" w:color="auto"/>
            </w:tcBorders>
          </w:tcPr>
          <w:p w:rsidR="00C61B67" w:rsidRPr="00C67B17" w:rsidRDefault="00C61B67" w:rsidP="00C61B67">
            <w:pPr>
              <w:spacing w:before="60" w:after="60" w:line="252" w:lineRule="auto"/>
              <w:rPr>
                <w:b/>
                <w:sz w:val="20"/>
                <w:szCs w:val="20"/>
              </w:rPr>
            </w:pPr>
            <w:r>
              <w:rPr>
                <w:b/>
                <w:sz w:val="20"/>
                <w:szCs w:val="20"/>
              </w:rPr>
              <w:t>Cargo availability report (</w:t>
            </w:r>
            <w:r w:rsidRPr="00C67B17">
              <w:rPr>
                <w:b/>
                <w:sz w:val="20"/>
                <w:szCs w:val="20"/>
              </w:rPr>
              <w:t>CAR</w:t>
            </w:r>
            <w:r>
              <w:rPr>
                <w:b/>
                <w:sz w:val="20"/>
                <w:szCs w:val="20"/>
              </w:rPr>
              <w:t>)</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Pr>
                <w:sz w:val="20"/>
                <w:szCs w:val="20"/>
              </w:rPr>
              <w:t>A</w:t>
            </w:r>
            <w:r w:rsidRPr="00C67B17">
              <w:rPr>
                <w:sz w:val="20"/>
                <w:szCs w:val="20"/>
              </w:rPr>
              <w:t xml:space="preserve"> report, available to the public, detailing USDA commodity supplies, tonnage, local port, and date of </w:t>
            </w:r>
            <w:r>
              <w:rPr>
                <w:sz w:val="20"/>
                <w:szCs w:val="20"/>
              </w:rPr>
              <w:t>availability</w:t>
            </w:r>
          </w:p>
        </w:tc>
      </w:tr>
      <w:tr w:rsidR="00C61B67" w:rsidRPr="008F550F" w:rsidTr="00A37972">
        <w:tc>
          <w:tcPr>
            <w:tcW w:w="1890" w:type="dxa"/>
            <w:tcBorders>
              <w:bottom w:val="single" w:sz="4" w:space="0" w:color="auto"/>
            </w:tcBorders>
          </w:tcPr>
          <w:p w:rsidR="00C61B67" w:rsidRPr="00C67B17" w:rsidRDefault="00C61B67" w:rsidP="00C61B67">
            <w:pPr>
              <w:spacing w:before="60" w:after="60" w:line="252" w:lineRule="auto"/>
              <w:rPr>
                <w:b/>
                <w:sz w:val="20"/>
                <w:szCs w:val="20"/>
              </w:rPr>
            </w:pPr>
            <w:r w:rsidRPr="00C67B17">
              <w:rPr>
                <w:b/>
                <w:bCs/>
                <w:sz w:val="20"/>
                <w:szCs w:val="20"/>
              </w:rPr>
              <w:t>Carryover</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Food assistance commodities or funds unused during a fiscal year that are transferred to the budget or planning levels for the follow</w:t>
            </w:r>
            <w:r>
              <w:rPr>
                <w:sz w:val="20"/>
                <w:szCs w:val="20"/>
              </w:rPr>
              <w:t>ing financial or reporting year</w:t>
            </w:r>
          </w:p>
        </w:tc>
      </w:tr>
      <w:tr w:rsidR="00C61B67" w:rsidRPr="008F550F" w:rsidTr="00A37972">
        <w:tc>
          <w:tcPr>
            <w:tcW w:w="1890" w:type="dxa"/>
            <w:tcBorders>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Claim</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The right an Awardee has against a third party as a result of an event, for which the third party is responsible, that caused a loss, damage</w:t>
            </w:r>
            <w:r>
              <w:rPr>
                <w:sz w:val="20"/>
                <w:szCs w:val="20"/>
              </w:rPr>
              <w:t>, or misuse of commodity</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 xml:space="preserve">Claims </w:t>
            </w:r>
            <w:r>
              <w:rPr>
                <w:b/>
                <w:sz w:val="20"/>
                <w:szCs w:val="20"/>
              </w:rPr>
              <w:t>r</w:t>
            </w:r>
            <w:r w:rsidRPr="00C67B17">
              <w:rPr>
                <w:b/>
                <w:sz w:val="20"/>
                <w:szCs w:val="20"/>
              </w:rPr>
              <w:t>eport</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A report required for every post-shipping loss over $500. The report documents the value of the claim, communication between the Awardee and FFP officers regarding the claim, amounts paid on the claim, and administrative costs incurred by the CS to pursue the claim.</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 xml:space="preserve">Clearing </w:t>
            </w:r>
            <w:r>
              <w:rPr>
                <w:b/>
                <w:sz w:val="20"/>
                <w:szCs w:val="20"/>
              </w:rPr>
              <w:t>&amp;</w:t>
            </w:r>
            <w:r w:rsidRPr="00C67B17">
              <w:rPr>
                <w:b/>
                <w:sz w:val="20"/>
                <w:szCs w:val="20"/>
              </w:rPr>
              <w:t xml:space="preserve"> </w:t>
            </w:r>
            <w:r>
              <w:rPr>
                <w:b/>
                <w:sz w:val="20"/>
                <w:szCs w:val="20"/>
              </w:rPr>
              <w:t>f</w:t>
            </w:r>
            <w:r w:rsidRPr="00C67B17">
              <w:rPr>
                <w:b/>
                <w:sz w:val="20"/>
                <w:szCs w:val="20"/>
              </w:rPr>
              <w:t xml:space="preserve">orwarding (C&amp;F) </w:t>
            </w:r>
            <w:r>
              <w:rPr>
                <w:b/>
                <w:sz w:val="20"/>
                <w:szCs w:val="20"/>
              </w:rPr>
              <w:t>a</w:t>
            </w:r>
            <w:r w:rsidRPr="00C67B17">
              <w:rPr>
                <w:b/>
                <w:sz w:val="20"/>
                <w:szCs w:val="20"/>
              </w:rPr>
              <w:t>gent</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A third party who facilitates the receipt, customs clearance</w:t>
            </w:r>
            <w:r>
              <w:rPr>
                <w:sz w:val="20"/>
                <w:szCs w:val="20"/>
              </w:rPr>
              <w:t>,</w:t>
            </w:r>
            <w:r w:rsidRPr="00C67B17">
              <w:rPr>
                <w:sz w:val="20"/>
                <w:szCs w:val="20"/>
              </w:rPr>
              <w:t xml:space="preserve"> and forwarding of international consignments to the Awa</w:t>
            </w:r>
            <w:r>
              <w:rPr>
                <w:sz w:val="20"/>
                <w:szCs w:val="20"/>
              </w:rPr>
              <w:t>rdee at designated destinations</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b/>
                <w:sz w:val="20"/>
                <w:szCs w:val="20"/>
              </w:rPr>
            </w:pPr>
            <w:r>
              <w:rPr>
                <w:b/>
                <w:sz w:val="20"/>
                <w:szCs w:val="20"/>
              </w:rPr>
              <w:t>Close-</w:t>
            </w:r>
            <w:r w:rsidRPr="00C67B17">
              <w:rPr>
                <w:b/>
                <w:sz w:val="20"/>
                <w:szCs w:val="20"/>
              </w:rPr>
              <w:t>out</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 xml:space="preserve">The close-out of an </w:t>
            </w:r>
            <w:r>
              <w:rPr>
                <w:sz w:val="20"/>
                <w:szCs w:val="20"/>
              </w:rPr>
              <w:t>A</w:t>
            </w:r>
            <w:r w:rsidRPr="00C67B17">
              <w:rPr>
                <w:sz w:val="20"/>
                <w:szCs w:val="20"/>
              </w:rPr>
              <w:t xml:space="preserve">ward is the process by which USAID determines that all applicable administrative actions and required work have been completed by the </w:t>
            </w:r>
            <w:r>
              <w:rPr>
                <w:sz w:val="20"/>
                <w:szCs w:val="20"/>
              </w:rPr>
              <w:t>A</w:t>
            </w:r>
            <w:r w:rsidRPr="00C67B17">
              <w:rPr>
                <w:sz w:val="20"/>
                <w:szCs w:val="20"/>
              </w:rPr>
              <w:t>wardee and USAID.</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 xml:space="preserve">Commodity </w:t>
            </w:r>
            <w:r>
              <w:rPr>
                <w:b/>
                <w:sz w:val="20"/>
                <w:szCs w:val="20"/>
              </w:rPr>
              <w:t>s</w:t>
            </w:r>
            <w:r w:rsidRPr="00C67B17">
              <w:rPr>
                <w:b/>
                <w:sz w:val="20"/>
                <w:szCs w:val="20"/>
              </w:rPr>
              <w:t xml:space="preserve">tatus </w:t>
            </w:r>
            <w:r>
              <w:rPr>
                <w:b/>
                <w:sz w:val="20"/>
                <w:szCs w:val="20"/>
              </w:rPr>
              <w:t>r</w:t>
            </w:r>
            <w:r w:rsidRPr="00C67B17">
              <w:rPr>
                <w:b/>
                <w:sz w:val="20"/>
                <w:szCs w:val="20"/>
              </w:rPr>
              <w:t>eport (CSR)</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A summary of receipts, dispatches, losses</w:t>
            </w:r>
            <w:r>
              <w:rPr>
                <w:sz w:val="20"/>
                <w:szCs w:val="20"/>
              </w:rPr>
              <w:t>,</w:t>
            </w:r>
            <w:r w:rsidRPr="00C67B17">
              <w:rPr>
                <w:sz w:val="20"/>
                <w:szCs w:val="20"/>
              </w:rPr>
              <w:t xml:space="preserve"> and reconciled physical inventories for commodity stored in all warehouses during a given period o</w:t>
            </w:r>
            <w:r>
              <w:rPr>
                <w:sz w:val="20"/>
                <w:szCs w:val="20"/>
              </w:rPr>
              <w:t>f time. A</w:t>
            </w:r>
            <w:r w:rsidRPr="00C67B17">
              <w:rPr>
                <w:sz w:val="20"/>
                <w:szCs w:val="20"/>
              </w:rPr>
              <w:t>wardees prepare one consolidated CSR for all program warehouses (including recipient agency warehouses) each quarter.</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b/>
                <w:sz w:val="20"/>
                <w:szCs w:val="20"/>
              </w:rPr>
            </w:pPr>
            <w:r w:rsidRPr="00C67B17">
              <w:rPr>
                <w:b/>
                <w:bCs/>
                <w:sz w:val="20"/>
                <w:szCs w:val="20"/>
              </w:rPr>
              <w:t>Commodity unfit for human consumption</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bCs/>
                <w:sz w:val="20"/>
                <w:szCs w:val="20"/>
              </w:rPr>
              <w:t xml:space="preserve">Commodity that has been analyzed by a public health inspector (or an authorized chemist or laboratory) and </w:t>
            </w:r>
            <w:r w:rsidRPr="00A25571">
              <w:rPr>
                <w:bCs/>
                <w:sz w:val="20"/>
                <w:szCs w:val="20"/>
              </w:rPr>
              <w:t>certified</w:t>
            </w:r>
            <w:r w:rsidR="00A25571">
              <w:rPr>
                <w:bCs/>
                <w:sz w:val="20"/>
                <w:szCs w:val="20"/>
              </w:rPr>
              <w:t xml:space="preserve"> to be inedible for humans</w:t>
            </w:r>
          </w:p>
        </w:tc>
      </w:tr>
      <w:tr w:rsidR="00C61B67" w:rsidRPr="008F550F" w:rsidTr="00A37972">
        <w:tc>
          <w:tcPr>
            <w:tcW w:w="1890" w:type="dxa"/>
            <w:tcBorders>
              <w:top w:val="single" w:sz="4" w:space="0" w:color="auto"/>
              <w:bottom w:val="single" w:sz="4" w:space="0" w:color="auto"/>
            </w:tcBorders>
          </w:tcPr>
          <w:p w:rsidR="00C61B67" w:rsidRPr="00C67B17" w:rsidRDefault="00C61B67" w:rsidP="00C61B67">
            <w:pPr>
              <w:spacing w:before="60" w:after="60" w:line="252" w:lineRule="auto"/>
              <w:rPr>
                <w:rFonts w:eastAsia="Calibri" w:cs="Times New Roman"/>
                <w:b/>
                <w:sz w:val="20"/>
                <w:szCs w:val="20"/>
              </w:rPr>
            </w:pPr>
            <w:r w:rsidRPr="00C67B17">
              <w:rPr>
                <w:rFonts w:eastAsia="Calibri" w:cs="Times New Roman"/>
                <w:b/>
                <w:bCs/>
                <w:sz w:val="20"/>
                <w:szCs w:val="20"/>
              </w:rPr>
              <w:t>Containerized commodity</w:t>
            </w:r>
          </w:p>
        </w:tc>
        <w:tc>
          <w:tcPr>
            <w:tcW w:w="7353" w:type="dxa"/>
            <w:tcBorders>
              <w:top w:val="single" w:sz="4" w:space="0" w:color="auto"/>
              <w:bottom w:val="single" w:sz="4" w:space="0" w:color="auto"/>
            </w:tcBorders>
          </w:tcPr>
          <w:p w:rsidR="00C61B67" w:rsidRPr="00C67B17" w:rsidRDefault="00C61B67" w:rsidP="00A25571">
            <w:pPr>
              <w:spacing w:before="60" w:after="60" w:line="252" w:lineRule="auto"/>
              <w:rPr>
                <w:rFonts w:eastAsia="Calibri" w:cs="Times New Roman"/>
                <w:sz w:val="20"/>
                <w:szCs w:val="20"/>
              </w:rPr>
            </w:pPr>
            <w:r w:rsidRPr="00C67B17">
              <w:rPr>
                <w:rFonts w:eastAsia="Calibri" w:cs="Times New Roman"/>
                <w:sz w:val="20"/>
                <w:szCs w:val="20"/>
              </w:rPr>
              <w:t>Commodity that is shipped in 20- or 40-foot containers</w:t>
            </w:r>
            <w:r w:rsidR="00A25571">
              <w:rPr>
                <w:rFonts w:eastAsia="Calibri" w:cs="Times New Roman"/>
                <w:sz w:val="20"/>
                <w:szCs w:val="20"/>
              </w:rPr>
              <w:t>,</w:t>
            </w:r>
            <w:r w:rsidRPr="00C67B17">
              <w:rPr>
                <w:rFonts w:eastAsia="Calibri" w:cs="Times New Roman"/>
                <w:sz w:val="20"/>
                <w:szCs w:val="20"/>
              </w:rPr>
              <w:t xml:space="preserve"> sealed in the country of export so that no entry is possible without detect</w:t>
            </w:r>
            <w:r w:rsidR="00A25571">
              <w:rPr>
                <w:rFonts w:eastAsia="Calibri" w:cs="Times New Roman"/>
                <w:sz w:val="20"/>
                <w:szCs w:val="20"/>
              </w:rPr>
              <w:t>ion</w:t>
            </w:r>
            <w:r w:rsidRPr="00C67B17">
              <w:rPr>
                <w:rFonts w:eastAsia="Calibri" w:cs="Times New Roman"/>
                <w:sz w:val="20"/>
                <w:szCs w:val="20"/>
              </w:rPr>
              <w:t>.  Containers are either opened and the contents removed for customs clearance at the port, or they are transported to a receiving warehouse for inspection and storage. Shipping commodity in containers greatly reduces handling</w:t>
            </w:r>
            <w:r w:rsidR="00A25571">
              <w:rPr>
                <w:rFonts w:eastAsia="Calibri" w:cs="Times New Roman"/>
                <w:sz w:val="20"/>
                <w:szCs w:val="20"/>
              </w:rPr>
              <w:t>-</w:t>
            </w:r>
            <w:r w:rsidRPr="00C67B17">
              <w:rPr>
                <w:rFonts w:eastAsia="Calibri" w:cs="Times New Roman"/>
                <w:sz w:val="20"/>
                <w:szCs w:val="20"/>
              </w:rPr>
              <w:t xml:space="preserve">related losses and may protect </w:t>
            </w:r>
            <w:r w:rsidR="00A25571">
              <w:rPr>
                <w:rFonts w:eastAsia="Calibri" w:cs="Times New Roman"/>
                <w:sz w:val="20"/>
                <w:szCs w:val="20"/>
              </w:rPr>
              <w:t>commodity</w:t>
            </w:r>
            <w:r w:rsidRPr="00C67B17">
              <w:rPr>
                <w:rFonts w:eastAsia="Calibri" w:cs="Times New Roman"/>
                <w:sz w:val="20"/>
                <w:szCs w:val="20"/>
              </w:rPr>
              <w:t xml:space="preserve"> from moisture-related damage. However, containers should be ventilated or desiccants </w:t>
            </w:r>
            <w:r w:rsidR="00A25571">
              <w:rPr>
                <w:rFonts w:eastAsia="Calibri" w:cs="Times New Roman"/>
                <w:sz w:val="20"/>
                <w:szCs w:val="20"/>
              </w:rPr>
              <w:t xml:space="preserve">should be </w:t>
            </w:r>
            <w:r w:rsidRPr="00C67B17">
              <w:rPr>
                <w:rFonts w:eastAsia="Calibri" w:cs="Times New Roman"/>
                <w:sz w:val="20"/>
                <w:szCs w:val="20"/>
              </w:rPr>
              <w:t>used to absorb moisture inside.</w:t>
            </w:r>
          </w:p>
        </w:tc>
      </w:tr>
      <w:tr w:rsidR="00C61B67" w:rsidRPr="008F550F" w:rsidTr="00CB5004">
        <w:tc>
          <w:tcPr>
            <w:tcW w:w="1890" w:type="dxa"/>
            <w:tcBorders>
              <w:bottom w:val="single" w:sz="4" w:space="0" w:color="auto"/>
            </w:tcBorders>
          </w:tcPr>
          <w:p w:rsidR="00C61B67" w:rsidRPr="00C67B17" w:rsidRDefault="00C61B67" w:rsidP="00A25571">
            <w:pPr>
              <w:spacing w:before="60" w:after="60" w:line="252" w:lineRule="auto"/>
              <w:rPr>
                <w:b/>
                <w:sz w:val="20"/>
                <w:szCs w:val="20"/>
              </w:rPr>
            </w:pPr>
            <w:r w:rsidRPr="00C67B17">
              <w:rPr>
                <w:b/>
                <w:bCs/>
                <w:sz w:val="20"/>
                <w:szCs w:val="20"/>
              </w:rPr>
              <w:t xml:space="preserve">Cooperative </w:t>
            </w:r>
            <w:r w:rsidR="00A25571">
              <w:rPr>
                <w:b/>
                <w:bCs/>
                <w:sz w:val="20"/>
                <w:szCs w:val="20"/>
              </w:rPr>
              <w:t>a</w:t>
            </w:r>
            <w:r w:rsidRPr="00C67B17">
              <w:rPr>
                <w:b/>
                <w:bCs/>
                <w:sz w:val="20"/>
                <w:szCs w:val="20"/>
              </w:rPr>
              <w:t>greement</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 xml:space="preserve">One of two methods the USG uses to provide assistance. The USG uses this method when it wishes to retain substantial involvement in a project. </w:t>
            </w:r>
          </w:p>
        </w:tc>
      </w:tr>
      <w:tr w:rsidR="00C61B67" w:rsidRPr="008F550F" w:rsidTr="00CB5004">
        <w:tc>
          <w:tcPr>
            <w:tcW w:w="1890" w:type="dxa"/>
            <w:tcBorders>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Damage</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sidRPr="00C67B17">
              <w:rPr>
                <w:bCs/>
                <w:sz w:val="20"/>
                <w:szCs w:val="20"/>
              </w:rPr>
              <w:t>D</w:t>
            </w:r>
            <w:r w:rsidRPr="00C67B17">
              <w:rPr>
                <w:sz w:val="20"/>
                <w:szCs w:val="20"/>
              </w:rPr>
              <w:t xml:space="preserve">eterioration </w:t>
            </w:r>
            <w:r w:rsidR="00A25571">
              <w:rPr>
                <w:sz w:val="20"/>
                <w:szCs w:val="20"/>
              </w:rPr>
              <w:t xml:space="preserve">in the quality of a commodity. </w:t>
            </w:r>
            <w:r w:rsidRPr="00C67B17">
              <w:rPr>
                <w:sz w:val="20"/>
                <w:szCs w:val="20"/>
              </w:rPr>
              <w:t>Damage includes commodity spoilage or contamination, and infestation of insects.</w:t>
            </w:r>
          </w:p>
        </w:tc>
      </w:tr>
    </w:tbl>
    <w:p w:rsidR="00A25571" w:rsidRDefault="00A25571">
      <w:r>
        <w:br w:type="page"/>
      </w:r>
    </w:p>
    <w:tbl>
      <w:tblPr>
        <w:tblStyle w:val="TableGrid"/>
        <w:tblW w:w="0" w:type="auto"/>
        <w:tblLook w:val="04A0" w:firstRow="1" w:lastRow="0" w:firstColumn="1" w:lastColumn="0" w:noHBand="0" w:noVBand="1"/>
      </w:tblPr>
      <w:tblGrid>
        <w:gridCol w:w="1890"/>
        <w:gridCol w:w="7353"/>
      </w:tblGrid>
      <w:tr w:rsidR="00C61B67" w:rsidRPr="008F550F" w:rsidTr="00CB5004">
        <w:tc>
          <w:tcPr>
            <w:tcW w:w="1890" w:type="dxa"/>
            <w:tcBorders>
              <w:top w:val="single" w:sz="4" w:space="0" w:color="auto"/>
            </w:tcBorders>
          </w:tcPr>
          <w:p w:rsidR="00C61B67" w:rsidRPr="00C67B17" w:rsidRDefault="00C61B67" w:rsidP="00C61B67">
            <w:pPr>
              <w:spacing w:before="60" w:after="60" w:line="252" w:lineRule="auto"/>
              <w:rPr>
                <w:b/>
                <w:sz w:val="20"/>
                <w:szCs w:val="20"/>
              </w:rPr>
            </w:pPr>
            <w:r w:rsidRPr="00C67B17">
              <w:rPr>
                <w:b/>
                <w:bCs/>
                <w:sz w:val="20"/>
                <w:szCs w:val="20"/>
              </w:rPr>
              <w:lastRenderedPageBreak/>
              <w:t>Damage or Misuse of Commodities Report (DMCR)</w:t>
            </w:r>
          </w:p>
        </w:tc>
        <w:tc>
          <w:tcPr>
            <w:tcW w:w="7353" w:type="dxa"/>
            <w:tcBorders>
              <w:top w:val="single" w:sz="4" w:space="0" w:color="auto"/>
            </w:tcBorders>
          </w:tcPr>
          <w:p w:rsidR="00C61B67" w:rsidRPr="00C67B17" w:rsidRDefault="00C61B67" w:rsidP="00577A7C">
            <w:pPr>
              <w:spacing w:before="60" w:after="60" w:line="252" w:lineRule="auto"/>
              <w:rPr>
                <w:sz w:val="20"/>
                <w:szCs w:val="20"/>
              </w:rPr>
            </w:pPr>
            <w:r w:rsidRPr="00C67B17">
              <w:rPr>
                <w:sz w:val="20"/>
                <w:szCs w:val="20"/>
              </w:rPr>
              <w:t>A required report for any loss that occurs as a result of a post-shipping incident</w:t>
            </w:r>
            <w:r w:rsidR="00577A7C">
              <w:rPr>
                <w:sz w:val="20"/>
                <w:szCs w:val="20"/>
              </w:rPr>
              <w:t>,</w:t>
            </w:r>
            <w:r w:rsidRPr="00C67B17">
              <w:rPr>
                <w:sz w:val="20"/>
                <w:szCs w:val="20"/>
              </w:rPr>
              <w:t xml:space="preserve"> if the loss is valued at $500 or more. The report records information on the loss incident, the type of commodities affected, the type of loss, the reason for the loss, liability f</w:t>
            </w:r>
            <w:r w:rsidR="00577A7C">
              <w:rPr>
                <w:sz w:val="20"/>
                <w:szCs w:val="20"/>
              </w:rPr>
              <w:t xml:space="preserve">or the loss, and claims filed. </w:t>
            </w:r>
            <w:r w:rsidRPr="00C67B17">
              <w:rPr>
                <w:sz w:val="20"/>
                <w:szCs w:val="20"/>
              </w:rPr>
              <w:t xml:space="preserve">In addition to completing the DMCR, Awardees must also submit a </w:t>
            </w:r>
            <w:r w:rsidR="00577A7C">
              <w:rPr>
                <w:sz w:val="20"/>
                <w:szCs w:val="20"/>
              </w:rPr>
              <w:t>c</w:t>
            </w:r>
            <w:r w:rsidRPr="00C67B17">
              <w:rPr>
                <w:sz w:val="20"/>
                <w:szCs w:val="20"/>
              </w:rPr>
              <w:t xml:space="preserve">laims </w:t>
            </w:r>
            <w:r w:rsidR="00577A7C">
              <w:rPr>
                <w:sz w:val="20"/>
                <w:szCs w:val="20"/>
              </w:rPr>
              <w:t>r</w:t>
            </w:r>
            <w:r w:rsidRPr="00C67B17">
              <w:rPr>
                <w:sz w:val="20"/>
                <w:szCs w:val="20"/>
              </w:rPr>
              <w:t>eport.</w:t>
            </w:r>
          </w:p>
        </w:tc>
      </w:tr>
      <w:tr w:rsidR="00C61B67" w:rsidRPr="008F550F" w:rsidTr="00370662">
        <w:tc>
          <w:tcPr>
            <w:tcW w:w="1890" w:type="dxa"/>
          </w:tcPr>
          <w:p w:rsidR="00C61B67" w:rsidRPr="00C67B17" w:rsidRDefault="00C61B67" w:rsidP="00577A7C">
            <w:pPr>
              <w:spacing w:before="60" w:after="60" w:line="252" w:lineRule="auto"/>
              <w:rPr>
                <w:b/>
                <w:sz w:val="20"/>
                <w:szCs w:val="20"/>
              </w:rPr>
            </w:pPr>
            <w:r w:rsidRPr="00C67B17">
              <w:rPr>
                <w:b/>
                <w:bCs/>
                <w:sz w:val="20"/>
                <w:szCs w:val="20"/>
              </w:rPr>
              <w:t xml:space="preserve">Delayed </w:t>
            </w:r>
            <w:r w:rsidR="00577A7C">
              <w:rPr>
                <w:b/>
                <w:bCs/>
                <w:sz w:val="20"/>
                <w:szCs w:val="20"/>
              </w:rPr>
              <w:t>s</w:t>
            </w:r>
            <w:r w:rsidRPr="00C67B17">
              <w:rPr>
                <w:b/>
                <w:bCs/>
                <w:sz w:val="20"/>
                <w:szCs w:val="20"/>
              </w:rPr>
              <w:t>hipping</w:t>
            </w:r>
          </w:p>
        </w:tc>
        <w:tc>
          <w:tcPr>
            <w:tcW w:w="7353" w:type="dxa"/>
          </w:tcPr>
          <w:p w:rsidR="00C61B67" w:rsidRPr="00C67B17" w:rsidRDefault="00577A7C" w:rsidP="00577A7C">
            <w:pPr>
              <w:spacing w:before="60" w:after="60" w:line="252" w:lineRule="auto"/>
              <w:rPr>
                <w:sz w:val="20"/>
                <w:szCs w:val="20"/>
              </w:rPr>
            </w:pPr>
            <w:r>
              <w:rPr>
                <w:sz w:val="20"/>
                <w:szCs w:val="20"/>
              </w:rPr>
              <w:t>A</w:t>
            </w:r>
            <w:r w:rsidR="00C61B67" w:rsidRPr="00C67B17">
              <w:rPr>
                <w:sz w:val="20"/>
                <w:szCs w:val="20"/>
              </w:rPr>
              <w:t xml:space="preserve"> practice </w:t>
            </w:r>
            <w:r>
              <w:rPr>
                <w:sz w:val="20"/>
                <w:szCs w:val="20"/>
              </w:rPr>
              <w:t xml:space="preserve">that occurs when an Awardee places a call </w:t>
            </w:r>
            <w:r w:rsidR="00C61B67" w:rsidRPr="00C67B17">
              <w:rPr>
                <w:sz w:val="20"/>
                <w:szCs w:val="20"/>
              </w:rPr>
              <w:t>forward request</w:t>
            </w:r>
            <w:r>
              <w:rPr>
                <w:sz w:val="20"/>
                <w:szCs w:val="20"/>
              </w:rPr>
              <w:t>ing</w:t>
            </w:r>
            <w:r w:rsidR="00C61B67" w:rsidRPr="00C67B17">
              <w:rPr>
                <w:sz w:val="20"/>
                <w:szCs w:val="20"/>
              </w:rPr>
              <w:t xml:space="preserve"> a U.S. load port date later than the traditional procurement schedule. For example, in the traditional procurement schedule, if </w:t>
            </w:r>
            <w:r>
              <w:rPr>
                <w:sz w:val="20"/>
                <w:szCs w:val="20"/>
              </w:rPr>
              <w:t xml:space="preserve">a call </w:t>
            </w:r>
            <w:r w:rsidR="00C61B67" w:rsidRPr="00C67B17">
              <w:rPr>
                <w:sz w:val="20"/>
                <w:szCs w:val="20"/>
              </w:rPr>
              <w:t>forward was entered in WBSCM by May 10 and approved by USAID for the June purchase, it would have a July U.S. load port date. In the delayed shipping practice, the call</w:t>
            </w:r>
            <w:r>
              <w:rPr>
                <w:sz w:val="20"/>
                <w:szCs w:val="20"/>
              </w:rPr>
              <w:t xml:space="preserve"> </w:t>
            </w:r>
            <w:r w:rsidR="00C61B67" w:rsidRPr="00C67B17">
              <w:rPr>
                <w:sz w:val="20"/>
                <w:szCs w:val="20"/>
              </w:rPr>
              <w:t>forward that was entered in WBSCM by May 10 and approved by USAID for the June purchase may have an October U.S. load port date. Commodity requests are entered based on the standard call forward schedule, but the date by which the commodity suppliers are required to deliver them to the specified U.S. load port is extended a maximum of two to three months beyond the standard delivery period. All commodities purchased in the current fiscal year must be loaded on board the contracted vessel prior to end of that calendar year.</w:t>
            </w:r>
          </w:p>
        </w:tc>
      </w:tr>
      <w:tr w:rsidR="00C61B67" w:rsidRPr="008F550F" w:rsidTr="00370662">
        <w:tc>
          <w:tcPr>
            <w:tcW w:w="1890" w:type="dxa"/>
          </w:tcPr>
          <w:p w:rsidR="00C61B67" w:rsidRPr="00C67B17" w:rsidRDefault="00C61B67" w:rsidP="00577A7C">
            <w:pPr>
              <w:spacing w:before="60" w:after="60" w:line="252" w:lineRule="auto"/>
              <w:rPr>
                <w:b/>
                <w:sz w:val="20"/>
                <w:szCs w:val="20"/>
              </w:rPr>
            </w:pPr>
            <w:r w:rsidRPr="00C67B17">
              <w:rPr>
                <w:b/>
                <w:sz w:val="20"/>
                <w:szCs w:val="20"/>
              </w:rPr>
              <w:t xml:space="preserve">Delivery </w:t>
            </w:r>
            <w:r w:rsidR="00577A7C">
              <w:rPr>
                <w:b/>
                <w:sz w:val="20"/>
                <w:szCs w:val="20"/>
              </w:rPr>
              <w:t>s</w:t>
            </w:r>
            <w:r w:rsidRPr="00C67B17">
              <w:rPr>
                <w:b/>
                <w:sz w:val="20"/>
                <w:szCs w:val="20"/>
              </w:rPr>
              <w:t>urvey</w:t>
            </w:r>
          </w:p>
        </w:tc>
        <w:tc>
          <w:tcPr>
            <w:tcW w:w="7353" w:type="dxa"/>
          </w:tcPr>
          <w:p w:rsidR="00C61B67" w:rsidRPr="00C67B17" w:rsidRDefault="00C61B67" w:rsidP="00577A7C">
            <w:pPr>
              <w:spacing w:before="60" w:after="60" w:line="252" w:lineRule="auto"/>
              <w:rPr>
                <w:sz w:val="20"/>
                <w:szCs w:val="20"/>
              </w:rPr>
            </w:pPr>
            <w:r w:rsidRPr="00C67B17">
              <w:rPr>
                <w:sz w:val="20"/>
                <w:szCs w:val="20"/>
              </w:rPr>
              <w:t>Official inspection report, prepared by an independent surveyor, documenting the condition and quantity of cargo that has been transported by sea when it arrives at a designated inland warehouse. The survey report is important in fixing responsibilities for losses occurring while cargo is in the custody of a port authority or during inland transport.</w:t>
            </w:r>
          </w:p>
        </w:tc>
      </w:tr>
      <w:tr w:rsidR="00C61B67" w:rsidRPr="008F550F" w:rsidTr="00370662">
        <w:tc>
          <w:tcPr>
            <w:tcW w:w="1890" w:type="dxa"/>
          </w:tcPr>
          <w:p w:rsidR="00C61B67" w:rsidRPr="00C67B17" w:rsidRDefault="00C61B67" w:rsidP="00C61B67">
            <w:pPr>
              <w:spacing w:before="60" w:after="60" w:line="252" w:lineRule="auto"/>
              <w:rPr>
                <w:b/>
                <w:sz w:val="20"/>
                <w:szCs w:val="20"/>
              </w:rPr>
            </w:pPr>
            <w:r w:rsidRPr="00C67B17">
              <w:rPr>
                <w:b/>
                <w:sz w:val="20"/>
                <w:szCs w:val="20"/>
              </w:rPr>
              <w:t>Demurrage</w:t>
            </w:r>
          </w:p>
        </w:tc>
        <w:tc>
          <w:tcPr>
            <w:tcW w:w="7353" w:type="dxa"/>
          </w:tcPr>
          <w:p w:rsidR="00C61B67" w:rsidRPr="00C67B17" w:rsidRDefault="00C61B67" w:rsidP="00962540">
            <w:pPr>
              <w:spacing w:before="60" w:after="60" w:line="252" w:lineRule="auto"/>
              <w:rPr>
                <w:sz w:val="20"/>
                <w:szCs w:val="20"/>
              </w:rPr>
            </w:pPr>
            <w:r w:rsidRPr="00C67B17">
              <w:rPr>
                <w:sz w:val="20"/>
                <w:szCs w:val="20"/>
              </w:rPr>
              <w:t>A penalty charged by ports for exceeding free time allowed for loading or unloading at a pier</w:t>
            </w:r>
            <w:r w:rsidR="00962540">
              <w:rPr>
                <w:sz w:val="20"/>
                <w:szCs w:val="20"/>
              </w:rPr>
              <w:t>,</w:t>
            </w:r>
            <w:r w:rsidRPr="00C67B17">
              <w:rPr>
                <w:sz w:val="20"/>
                <w:szCs w:val="20"/>
              </w:rPr>
              <w:t xml:space="preserve"> or for failure to move cargo out of port warehouses within certain fixed time periods (usually 7, 15</w:t>
            </w:r>
            <w:r w:rsidR="00651582">
              <w:rPr>
                <w:sz w:val="20"/>
                <w:szCs w:val="20"/>
              </w:rPr>
              <w:t>, or 30 days)</w:t>
            </w:r>
          </w:p>
        </w:tc>
      </w:tr>
      <w:tr w:rsidR="00C61B67" w:rsidRPr="008F550F" w:rsidTr="00370662">
        <w:tc>
          <w:tcPr>
            <w:tcW w:w="1890" w:type="dxa"/>
          </w:tcPr>
          <w:p w:rsidR="00C61B67" w:rsidRPr="00C67B17" w:rsidRDefault="00C61B67" w:rsidP="00651582">
            <w:pPr>
              <w:spacing w:before="60" w:after="60" w:line="252" w:lineRule="auto"/>
              <w:rPr>
                <w:b/>
                <w:sz w:val="20"/>
                <w:szCs w:val="20"/>
              </w:rPr>
            </w:pPr>
            <w:r w:rsidRPr="00C67B17">
              <w:rPr>
                <w:b/>
                <w:sz w:val="20"/>
                <w:szCs w:val="20"/>
              </w:rPr>
              <w:t xml:space="preserve">Discharge </w:t>
            </w:r>
            <w:r w:rsidR="00651582">
              <w:rPr>
                <w:b/>
                <w:sz w:val="20"/>
                <w:szCs w:val="20"/>
              </w:rPr>
              <w:t>s</w:t>
            </w:r>
            <w:r w:rsidRPr="00C67B17">
              <w:rPr>
                <w:b/>
                <w:sz w:val="20"/>
                <w:szCs w:val="20"/>
              </w:rPr>
              <w:t>urvey</w:t>
            </w:r>
          </w:p>
        </w:tc>
        <w:tc>
          <w:tcPr>
            <w:tcW w:w="7353" w:type="dxa"/>
          </w:tcPr>
          <w:p w:rsidR="00C61B67" w:rsidRPr="00C67B17" w:rsidRDefault="00C61B67" w:rsidP="00651582">
            <w:pPr>
              <w:spacing w:before="60" w:after="60" w:line="252" w:lineRule="auto"/>
              <w:rPr>
                <w:sz w:val="20"/>
                <w:szCs w:val="20"/>
              </w:rPr>
            </w:pPr>
            <w:r w:rsidRPr="00C67B17">
              <w:rPr>
                <w:sz w:val="20"/>
                <w:szCs w:val="20"/>
              </w:rPr>
              <w:t xml:space="preserve">Official inspection report documenting the condition and quantity of cargo discharged from a vessel (ship). </w:t>
            </w:r>
            <w:r w:rsidR="00651582">
              <w:rPr>
                <w:sz w:val="20"/>
                <w:szCs w:val="20"/>
              </w:rPr>
              <w:t>An</w:t>
            </w:r>
            <w:r w:rsidRPr="00C67B17">
              <w:rPr>
                <w:sz w:val="20"/>
                <w:szCs w:val="20"/>
              </w:rPr>
              <w:t xml:space="preserve"> independent surveyor</w:t>
            </w:r>
            <w:r w:rsidR="00651582">
              <w:rPr>
                <w:sz w:val="20"/>
                <w:szCs w:val="20"/>
              </w:rPr>
              <w:t>,</w:t>
            </w:r>
            <w:r w:rsidRPr="00C67B17">
              <w:rPr>
                <w:sz w:val="20"/>
                <w:szCs w:val="20"/>
              </w:rPr>
              <w:t xml:space="preserve"> who examines the cargo immediately before, during</w:t>
            </w:r>
            <w:r w:rsidR="00651582">
              <w:rPr>
                <w:sz w:val="20"/>
                <w:szCs w:val="20"/>
              </w:rPr>
              <w:t>,</w:t>
            </w:r>
            <w:r w:rsidRPr="00C67B17">
              <w:rPr>
                <w:sz w:val="20"/>
                <w:szCs w:val="20"/>
              </w:rPr>
              <w:t xml:space="preserve"> and after it is discharged from the vessel</w:t>
            </w:r>
            <w:r w:rsidR="00651582">
              <w:rPr>
                <w:sz w:val="20"/>
                <w:szCs w:val="20"/>
              </w:rPr>
              <w:t xml:space="preserve">, prepares the survey report. The survey </w:t>
            </w:r>
            <w:r w:rsidRPr="00C67B17">
              <w:rPr>
                <w:sz w:val="20"/>
                <w:szCs w:val="20"/>
              </w:rPr>
              <w:t>is used to fix responsibility for losses occurring while cargo is under the care, custody, and control of the vessel.</w:t>
            </w:r>
          </w:p>
        </w:tc>
      </w:tr>
      <w:tr w:rsidR="00C61B67" w:rsidRPr="008F550F" w:rsidTr="00370662">
        <w:tc>
          <w:tcPr>
            <w:tcW w:w="1890" w:type="dxa"/>
          </w:tcPr>
          <w:p w:rsidR="00C61B67" w:rsidRPr="00C67B17" w:rsidRDefault="00C61B67" w:rsidP="002F39C7">
            <w:pPr>
              <w:spacing w:before="60" w:after="60" w:line="252" w:lineRule="auto"/>
              <w:rPr>
                <w:b/>
                <w:sz w:val="20"/>
                <w:szCs w:val="20"/>
              </w:rPr>
            </w:pPr>
            <w:r w:rsidRPr="00C67B17">
              <w:rPr>
                <w:b/>
                <w:sz w:val="20"/>
                <w:szCs w:val="20"/>
              </w:rPr>
              <w:t xml:space="preserve">Dispatch </w:t>
            </w:r>
            <w:r w:rsidR="002F39C7">
              <w:rPr>
                <w:b/>
                <w:sz w:val="20"/>
                <w:szCs w:val="20"/>
              </w:rPr>
              <w:t>a</w:t>
            </w:r>
            <w:r w:rsidRPr="00C67B17">
              <w:rPr>
                <w:b/>
                <w:sz w:val="20"/>
                <w:szCs w:val="20"/>
              </w:rPr>
              <w:t>uthorization</w:t>
            </w:r>
          </w:p>
        </w:tc>
        <w:tc>
          <w:tcPr>
            <w:tcW w:w="7353" w:type="dxa"/>
          </w:tcPr>
          <w:p w:rsidR="00C61B67" w:rsidRPr="00C67B17" w:rsidRDefault="00C61B67" w:rsidP="00C61B67">
            <w:pPr>
              <w:spacing w:before="60" w:after="60" w:line="252" w:lineRule="auto"/>
              <w:rPr>
                <w:sz w:val="20"/>
                <w:szCs w:val="20"/>
              </w:rPr>
            </w:pPr>
            <w:r w:rsidRPr="00C67B17">
              <w:rPr>
                <w:sz w:val="20"/>
                <w:szCs w:val="20"/>
              </w:rPr>
              <w:t>Document authorizing warehouse personnel to release stated quantity of commodity, on specific da</w:t>
            </w:r>
            <w:r w:rsidR="002F39C7">
              <w:rPr>
                <w:sz w:val="20"/>
                <w:szCs w:val="20"/>
              </w:rPr>
              <w:t>te(s), to specified destination</w:t>
            </w:r>
          </w:p>
        </w:tc>
      </w:tr>
      <w:tr w:rsidR="00C61B67" w:rsidRPr="008F550F" w:rsidTr="00370662">
        <w:tc>
          <w:tcPr>
            <w:tcW w:w="1890" w:type="dxa"/>
          </w:tcPr>
          <w:p w:rsidR="00C61B67" w:rsidRPr="00C67B17" w:rsidRDefault="00C61B67" w:rsidP="00C61B67">
            <w:pPr>
              <w:spacing w:before="60" w:after="60" w:line="252" w:lineRule="auto"/>
              <w:rPr>
                <w:b/>
                <w:sz w:val="20"/>
                <w:szCs w:val="20"/>
              </w:rPr>
            </w:pPr>
            <w:r w:rsidRPr="00C67B17">
              <w:rPr>
                <w:b/>
                <w:sz w:val="20"/>
                <w:szCs w:val="20"/>
              </w:rPr>
              <w:t>Distribution agencies</w:t>
            </w:r>
          </w:p>
        </w:tc>
        <w:tc>
          <w:tcPr>
            <w:tcW w:w="7353" w:type="dxa"/>
          </w:tcPr>
          <w:p w:rsidR="00C61B67" w:rsidRPr="00C67B17" w:rsidRDefault="002F39C7" w:rsidP="002F39C7">
            <w:pPr>
              <w:spacing w:before="60" w:after="60" w:line="252" w:lineRule="auto"/>
              <w:rPr>
                <w:sz w:val="20"/>
                <w:szCs w:val="20"/>
              </w:rPr>
            </w:pPr>
            <w:r>
              <w:rPr>
                <w:sz w:val="20"/>
                <w:szCs w:val="20"/>
              </w:rPr>
              <w:t>Local NGOs, CBO</w:t>
            </w:r>
            <w:r w:rsidR="00C61B67" w:rsidRPr="00C67B17">
              <w:rPr>
                <w:sz w:val="20"/>
                <w:szCs w:val="20"/>
              </w:rPr>
              <w:t xml:space="preserve">s, welfare agencies (such as orphanages and centers for street children), schools, or health centers that receive USG food commodities from the Awardee to distribute to eligible recipients within the Awardee's distribution system. Distribution agencies are not full </w:t>
            </w:r>
            <w:r>
              <w:rPr>
                <w:sz w:val="20"/>
                <w:szCs w:val="20"/>
              </w:rPr>
              <w:t>S</w:t>
            </w:r>
            <w:r w:rsidR="00C61B67" w:rsidRPr="00C67B17">
              <w:rPr>
                <w:sz w:val="20"/>
                <w:szCs w:val="20"/>
              </w:rPr>
              <w:t>ub-</w:t>
            </w:r>
            <w:r>
              <w:rPr>
                <w:sz w:val="20"/>
                <w:szCs w:val="20"/>
              </w:rPr>
              <w:t>A</w:t>
            </w:r>
            <w:r w:rsidR="00C61B67" w:rsidRPr="00C67B17">
              <w:rPr>
                <w:sz w:val="20"/>
                <w:szCs w:val="20"/>
              </w:rPr>
              <w:t xml:space="preserve">wardees (or </w:t>
            </w:r>
            <w:r w:rsidR="00C61B67" w:rsidRPr="002F39C7">
              <w:rPr>
                <w:sz w:val="20"/>
                <w:szCs w:val="20"/>
              </w:rPr>
              <w:t>recipient agencies</w:t>
            </w:r>
            <w:r w:rsidR="00C61B67" w:rsidRPr="00C67B17">
              <w:rPr>
                <w:sz w:val="20"/>
                <w:szCs w:val="20"/>
              </w:rPr>
              <w:t>)</w:t>
            </w:r>
            <w:r>
              <w:rPr>
                <w:sz w:val="20"/>
                <w:szCs w:val="20"/>
              </w:rPr>
              <w:t>,</w:t>
            </w:r>
            <w:r w:rsidR="00C61B67" w:rsidRPr="00C67B17">
              <w:rPr>
                <w:sz w:val="20"/>
                <w:szCs w:val="20"/>
              </w:rPr>
              <w:t xml:space="preserve"> in that they generally do not independently implement Awardee</w:t>
            </w:r>
            <w:r>
              <w:rPr>
                <w:sz w:val="20"/>
                <w:szCs w:val="20"/>
              </w:rPr>
              <w:t>-</w:t>
            </w:r>
            <w:r w:rsidR="00C61B67" w:rsidRPr="00C67B17">
              <w:rPr>
                <w:sz w:val="20"/>
                <w:szCs w:val="20"/>
              </w:rPr>
              <w:t>funded activities.</w:t>
            </w:r>
          </w:p>
        </w:tc>
      </w:tr>
      <w:tr w:rsidR="00C61B67" w:rsidRPr="008F550F" w:rsidTr="00370662">
        <w:tc>
          <w:tcPr>
            <w:tcW w:w="1890" w:type="dxa"/>
          </w:tcPr>
          <w:p w:rsidR="00C61B67" w:rsidRPr="00C67B17" w:rsidRDefault="00C61B67" w:rsidP="00C61B67">
            <w:pPr>
              <w:spacing w:before="60" w:after="60" w:line="252" w:lineRule="auto"/>
              <w:rPr>
                <w:b/>
                <w:sz w:val="20"/>
                <w:szCs w:val="20"/>
              </w:rPr>
            </w:pPr>
            <w:r w:rsidRPr="00C67B17">
              <w:rPr>
                <w:b/>
                <w:sz w:val="20"/>
                <w:szCs w:val="20"/>
              </w:rPr>
              <w:t>Distribution frequency</w:t>
            </w:r>
          </w:p>
        </w:tc>
        <w:tc>
          <w:tcPr>
            <w:tcW w:w="7353" w:type="dxa"/>
          </w:tcPr>
          <w:p w:rsidR="00C61B67" w:rsidRPr="00C67B17" w:rsidRDefault="00C61B67" w:rsidP="00C61B67">
            <w:pPr>
              <w:spacing w:before="60" w:after="60" w:line="252" w:lineRule="auto"/>
              <w:rPr>
                <w:b/>
                <w:sz w:val="20"/>
                <w:szCs w:val="20"/>
              </w:rPr>
            </w:pPr>
            <w:r w:rsidRPr="00C67B17">
              <w:rPr>
                <w:sz w:val="20"/>
                <w:szCs w:val="20"/>
              </w:rPr>
              <w:t xml:space="preserve">The interval </w:t>
            </w:r>
            <w:r w:rsidR="002F39C7">
              <w:rPr>
                <w:sz w:val="20"/>
                <w:szCs w:val="20"/>
              </w:rPr>
              <w:t>of time between distributions</w:t>
            </w:r>
          </w:p>
        </w:tc>
      </w:tr>
      <w:tr w:rsidR="00C61B67" w:rsidRPr="008F550F" w:rsidTr="00370662">
        <w:tc>
          <w:tcPr>
            <w:tcW w:w="1890" w:type="dxa"/>
          </w:tcPr>
          <w:p w:rsidR="00C61B67" w:rsidRPr="00C67B17" w:rsidRDefault="00C61B67" w:rsidP="00C61B67">
            <w:pPr>
              <w:spacing w:before="60" w:after="60" w:line="252" w:lineRule="auto"/>
              <w:rPr>
                <w:b/>
                <w:sz w:val="20"/>
                <w:szCs w:val="20"/>
              </w:rPr>
            </w:pPr>
            <w:r w:rsidRPr="00C67B17">
              <w:rPr>
                <w:b/>
                <w:sz w:val="20"/>
                <w:szCs w:val="20"/>
              </w:rPr>
              <w:t>Distribution list</w:t>
            </w:r>
          </w:p>
        </w:tc>
        <w:tc>
          <w:tcPr>
            <w:tcW w:w="7353" w:type="dxa"/>
          </w:tcPr>
          <w:p w:rsidR="00C61B67" w:rsidRPr="00C67B17" w:rsidRDefault="00C61B67" w:rsidP="002F39C7">
            <w:pPr>
              <w:spacing w:before="60" w:after="60" w:line="252" w:lineRule="auto"/>
              <w:rPr>
                <w:sz w:val="20"/>
                <w:szCs w:val="20"/>
              </w:rPr>
            </w:pPr>
            <w:r w:rsidRPr="00C67B17">
              <w:rPr>
                <w:sz w:val="20"/>
                <w:szCs w:val="20"/>
              </w:rPr>
              <w:t>A subset of the master recipient list</w:t>
            </w:r>
            <w:r w:rsidR="002F39C7">
              <w:rPr>
                <w:sz w:val="20"/>
                <w:szCs w:val="20"/>
              </w:rPr>
              <w:t>,</w:t>
            </w:r>
            <w:r w:rsidRPr="00C67B17">
              <w:rPr>
                <w:sz w:val="20"/>
                <w:szCs w:val="20"/>
              </w:rPr>
              <w:t xml:space="preserve"> containing data on only those individuals or households eligible to receive commodities at a g</w:t>
            </w:r>
            <w:r w:rsidR="002F39C7">
              <w:rPr>
                <w:sz w:val="20"/>
                <w:szCs w:val="20"/>
              </w:rPr>
              <w:t xml:space="preserve">iven location on a given date. </w:t>
            </w:r>
            <w:r w:rsidRPr="00C67B17">
              <w:rPr>
                <w:sz w:val="20"/>
                <w:szCs w:val="20"/>
              </w:rPr>
              <w:t xml:space="preserve">The distribution list contains the name of the recipient, the total number of eligible household members, the type and total quantities </w:t>
            </w:r>
            <w:r w:rsidR="002F39C7">
              <w:rPr>
                <w:sz w:val="20"/>
                <w:szCs w:val="20"/>
              </w:rPr>
              <w:t>of</w:t>
            </w:r>
            <w:r w:rsidRPr="00C67B17">
              <w:rPr>
                <w:sz w:val="20"/>
                <w:szCs w:val="20"/>
              </w:rPr>
              <w:t xml:space="preserve"> commodities, and the </w:t>
            </w:r>
            <w:r w:rsidRPr="00C67B17">
              <w:rPr>
                <w:rFonts w:cs="Calibri"/>
                <w:sz w:val="20"/>
                <w:szCs w:val="20"/>
              </w:rPr>
              <w:t>ration card number</w:t>
            </w:r>
            <w:r w:rsidRPr="00C67B17">
              <w:rPr>
                <w:sz w:val="20"/>
                <w:szCs w:val="20"/>
              </w:rPr>
              <w:t>. A distribution list is often used to record individuals (through signature or thumb print) who have received their distribution.</w:t>
            </w:r>
          </w:p>
        </w:tc>
      </w:tr>
      <w:tr w:rsidR="00C61B67" w:rsidRPr="008F550F" w:rsidTr="00370662">
        <w:tc>
          <w:tcPr>
            <w:tcW w:w="1890" w:type="dxa"/>
          </w:tcPr>
          <w:p w:rsidR="00C61B67" w:rsidRPr="00C67B17" w:rsidRDefault="00C61B67" w:rsidP="00C61B67">
            <w:pPr>
              <w:spacing w:before="60" w:after="60" w:line="252" w:lineRule="auto"/>
              <w:rPr>
                <w:b/>
                <w:sz w:val="20"/>
                <w:szCs w:val="20"/>
              </w:rPr>
            </w:pPr>
            <w:r w:rsidRPr="00C67B17">
              <w:rPr>
                <w:b/>
                <w:sz w:val="20"/>
                <w:szCs w:val="20"/>
              </w:rPr>
              <w:t>Distribution plan</w:t>
            </w:r>
          </w:p>
        </w:tc>
        <w:tc>
          <w:tcPr>
            <w:tcW w:w="7353" w:type="dxa"/>
          </w:tcPr>
          <w:p w:rsidR="00C61B67" w:rsidRDefault="00C61B67" w:rsidP="002F39C7">
            <w:pPr>
              <w:spacing w:before="60" w:after="60" w:line="252" w:lineRule="auto"/>
              <w:rPr>
                <w:sz w:val="20"/>
                <w:szCs w:val="20"/>
              </w:rPr>
            </w:pPr>
            <w:r w:rsidRPr="00C67B17">
              <w:rPr>
                <w:sz w:val="20"/>
                <w:szCs w:val="20"/>
              </w:rPr>
              <w:t>A document that details the total quantity of inventory to be distributed, the expected number of recip</w:t>
            </w:r>
            <w:r w:rsidR="002F39C7">
              <w:rPr>
                <w:sz w:val="20"/>
                <w:szCs w:val="20"/>
              </w:rPr>
              <w:t xml:space="preserve">ients to be served, and the per-person ration size. </w:t>
            </w:r>
            <w:r w:rsidRPr="00C67B17">
              <w:rPr>
                <w:sz w:val="20"/>
                <w:szCs w:val="20"/>
              </w:rPr>
              <w:t>The plan also informs warehouse personnel about the quantity of commodity to dispatch, the time period in which to dispatch it, and the destination.</w:t>
            </w:r>
          </w:p>
          <w:p w:rsidR="002F39C7" w:rsidRPr="00C67B17" w:rsidRDefault="002F39C7" w:rsidP="002F39C7">
            <w:pPr>
              <w:spacing w:before="60" w:after="60" w:line="252" w:lineRule="auto"/>
              <w:rPr>
                <w:b/>
                <w:sz w:val="20"/>
                <w:szCs w:val="20"/>
              </w:rPr>
            </w:pPr>
          </w:p>
        </w:tc>
      </w:tr>
      <w:tr w:rsidR="00C61B67" w:rsidRPr="008F550F" w:rsidTr="00CB5004">
        <w:tc>
          <w:tcPr>
            <w:tcW w:w="1890" w:type="dxa"/>
            <w:tcBorders>
              <w:bottom w:val="single" w:sz="4" w:space="0" w:color="auto"/>
            </w:tcBorders>
          </w:tcPr>
          <w:p w:rsidR="00C61B67" w:rsidRPr="00C67B17" w:rsidRDefault="002F39C7" w:rsidP="00C61B67">
            <w:pPr>
              <w:spacing w:before="60" w:after="60" w:line="252" w:lineRule="auto"/>
              <w:rPr>
                <w:b/>
                <w:sz w:val="20"/>
                <w:szCs w:val="20"/>
              </w:rPr>
            </w:pPr>
            <w:r>
              <w:lastRenderedPageBreak/>
              <w:br w:type="page"/>
            </w:r>
            <w:r>
              <w:br w:type="page"/>
            </w:r>
            <w:r w:rsidR="00C61B67" w:rsidRPr="00C67B17">
              <w:rPr>
                <w:b/>
                <w:sz w:val="20"/>
                <w:szCs w:val="20"/>
              </w:rPr>
              <w:t>Distribution point or site</w:t>
            </w:r>
          </w:p>
        </w:tc>
        <w:tc>
          <w:tcPr>
            <w:tcW w:w="7353" w:type="dxa"/>
            <w:tcBorders>
              <w:bottom w:val="single" w:sz="4" w:space="0" w:color="auto"/>
            </w:tcBorders>
          </w:tcPr>
          <w:p w:rsidR="00C61B67" w:rsidRPr="00C67B17" w:rsidRDefault="00C61B67" w:rsidP="00BB652A">
            <w:pPr>
              <w:autoSpaceDE w:val="0"/>
              <w:autoSpaceDN w:val="0"/>
              <w:adjustRightInd w:val="0"/>
              <w:spacing w:before="60" w:after="60" w:line="252" w:lineRule="auto"/>
              <w:rPr>
                <w:rFonts w:cs="Calibri"/>
                <w:sz w:val="20"/>
                <w:szCs w:val="20"/>
              </w:rPr>
            </w:pPr>
            <w:r w:rsidRPr="00C67B17">
              <w:rPr>
                <w:rFonts w:cs="Calibri"/>
                <w:sz w:val="20"/>
                <w:szCs w:val="20"/>
              </w:rPr>
              <w:t>Physical location where recipient receives commodity entitlement from the Awardee</w:t>
            </w:r>
          </w:p>
        </w:tc>
      </w:tr>
      <w:tr w:rsidR="00C61B67" w:rsidRPr="008F550F" w:rsidTr="00CB5004">
        <w:tc>
          <w:tcPr>
            <w:tcW w:w="1890" w:type="dxa"/>
            <w:tcBorders>
              <w:bottom w:val="single" w:sz="4" w:space="0" w:color="auto"/>
            </w:tcBorders>
          </w:tcPr>
          <w:p w:rsidR="00C61B67" w:rsidRPr="00C67B17" w:rsidRDefault="00C61B67" w:rsidP="00BB652A">
            <w:pPr>
              <w:spacing w:before="60" w:after="60" w:line="252" w:lineRule="auto"/>
              <w:rPr>
                <w:b/>
                <w:sz w:val="20"/>
                <w:szCs w:val="20"/>
              </w:rPr>
            </w:pPr>
            <w:r w:rsidRPr="00C67B17">
              <w:rPr>
                <w:b/>
                <w:sz w:val="20"/>
                <w:szCs w:val="20"/>
              </w:rPr>
              <w:t xml:space="preserve">Distribution </w:t>
            </w:r>
            <w:r w:rsidR="00BB652A">
              <w:rPr>
                <w:b/>
                <w:sz w:val="20"/>
                <w:szCs w:val="20"/>
              </w:rPr>
              <w:t>t</w:t>
            </w:r>
            <w:r w:rsidRPr="00C67B17">
              <w:rPr>
                <w:b/>
                <w:sz w:val="20"/>
                <w:szCs w:val="20"/>
              </w:rPr>
              <w:t xml:space="preserve">ally </w:t>
            </w:r>
            <w:r w:rsidR="00BB652A">
              <w:rPr>
                <w:b/>
                <w:sz w:val="20"/>
                <w:szCs w:val="20"/>
              </w:rPr>
              <w:t>s</w:t>
            </w:r>
            <w:r w:rsidRPr="00C67B17">
              <w:rPr>
                <w:b/>
                <w:sz w:val="20"/>
                <w:szCs w:val="20"/>
              </w:rPr>
              <w:t>heet</w:t>
            </w:r>
          </w:p>
        </w:tc>
        <w:tc>
          <w:tcPr>
            <w:tcW w:w="7353" w:type="dxa"/>
            <w:tcBorders>
              <w:bottom w:val="single" w:sz="4" w:space="0" w:color="auto"/>
            </w:tcBorders>
          </w:tcPr>
          <w:p w:rsidR="00C61B67" w:rsidRPr="00C67B17" w:rsidRDefault="00C61B67" w:rsidP="00BB652A">
            <w:pPr>
              <w:autoSpaceDE w:val="0"/>
              <w:autoSpaceDN w:val="0"/>
              <w:adjustRightInd w:val="0"/>
              <w:spacing w:before="60" w:after="60" w:line="252" w:lineRule="auto"/>
              <w:rPr>
                <w:rFonts w:cs="Calibri"/>
                <w:sz w:val="20"/>
                <w:szCs w:val="20"/>
              </w:rPr>
            </w:pPr>
            <w:r w:rsidRPr="00C67B17">
              <w:rPr>
                <w:rFonts w:cs="Calibri"/>
                <w:sz w:val="20"/>
                <w:szCs w:val="20"/>
              </w:rPr>
              <w:t>A list of ration card numbers for recipients eligible to receive commo</w:t>
            </w:r>
            <w:r w:rsidR="00BB652A">
              <w:rPr>
                <w:rFonts w:cs="Calibri"/>
                <w:sz w:val="20"/>
                <w:szCs w:val="20"/>
              </w:rPr>
              <w:t>dity at a specific distribution</w:t>
            </w:r>
          </w:p>
        </w:tc>
      </w:tr>
      <w:tr w:rsidR="00C61B67" w:rsidRPr="008F550F" w:rsidTr="00CB5004">
        <w:tc>
          <w:tcPr>
            <w:tcW w:w="1890" w:type="dxa"/>
            <w:tcBorders>
              <w:bottom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Diversion (of commodity)</w:t>
            </w:r>
          </w:p>
        </w:tc>
        <w:tc>
          <w:tcPr>
            <w:tcW w:w="7353" w:type="dxa"/>
            <w:tcBorders>
              <w:bottom w:val="single" w:sz="4" w:space="0" w:color="auto"/>
            </w:tcBorders>
          </w:tcPr>
          <w:p w:rsidR="00C61B67" w:rsidRPr="00777D7C" w:rsidRDefault="00C61B67" w:rsidP="00C61B67">
            <w:pPr>
              <w:autoSpaceDE w:val="0"/>
              <w:autoSpaceDN w:val="0"/>
              <w:adjustRightInd w:val="0"/>
              <w:spacing w:before="60" w:after="60" w:line="252" w:lineRule="auto"/>
              <w:rPr>
                <w:rFonts w:cs="Calibri"/>
                <w:sz w:val="20"/>
                <w:szCs w:val="20"/>
              </w:rPr>
            </w:pPr>
            <w:r>
              <w:rPr>
                <w:rFonts w:cs="Calibri"/>
                <w:sz w:val="20"/>
                <w:szCs w:val="20"/>
              </w:rPr>
              <w:t>Commodity onboard a vessel destined for one program is redirected to meet the more urgent needs of another program. For example, commodities destined for the overseas pre</w:t>
            </w:r>
            <w:r w:rsidR="00BB652A">
              <w:rPr>
                <w:rFonts w:cs="Calibri"/>
                <w:sz w:val="20"/>
                <w:szCs w:val="20"/>
              </w:rPr>
              <w:t>-</w:t>
            </w:r>
            <w:r>
              <w:rPr>
                <w:rFonts w:cs="Calibri"/>
                <w:sz w:val="20"/>
                <w:szCs w:val="20"/>
              </w:rPr>
              <w:t>positioning warehouses are often diverted to emergency programs.</w:t>
            </w:r>
          </w:p>
        </w:tc>
      </w:tr>
      <w:tr w:rsidR="00C61B67" w:rsidRPr="008F550F" w:rsidTr="00CB5004">
        <w:tc>
          <w:tcPr>
            <w:tcW w:w="1890" w:type="dxa"/>
            <w:tcBorders>
              <w:top w:val="single" w:sz="4" w:space="0" w:color="auto"/>
              <w:left w:val="single" w:sz="4" w:space="0" w:color="auto"/>
              <w:bottom w:val="single" w:sz="4" w:space="0" w:color="auto"/>
              <w:right w:val="single" w:sz="4" w:space="0" w:color="auto"/>
            </w:tcBorders>
          </w:tcPr>
          <w:p w:rsidR="00C61B67" w:rsidRPr="00C67B17" w:rsidRDefault="00C61B67" w:rsidP="00BB652A">
            <w:pPr>
              <w:spacing w:before="60" w:after="60" w:line="252" w:lineRule="auto"/>
              <w:rPr>
                <w:b/>
                <w:sz w:val="20"/>
                <w:szCs w:val="20"/>
              </w:rPr>
            </w:pPr>
            <w:r w:rsidRPr="00C67B17">
              <w:rPr>
                <w:b/>
                <w:sz w:val="20"/>
                <w:szCs w:val="20"/>
              </w:rPr>
              <w:t xml:space="preserve">Excess </w:t>
            </w:r>
            <w:r w:rsidR="00BB652A">
              <w:rPr>
                <w:b/>
                <w:sz w:val="20"/>
                <w:szCs w:val="20"/>
              </w:rPr>
              <w:t>l</w:t>
            </w:r>
            <w:r w:rsidRPr="00C67B17">
              <w:rPr>
                <w:b/>
                <w:sz w:val="20"/>
                <w:szCs w:val="20"/>
              </w:rPr>
              <w:t xml:space="preserve">anded </w:t>
            </w:r>
            <w:r w:rsidR="00BB652A">
              <w:rPr>
                <w:b/>
                <w:sz w:val="20"/>
                <w:szCs w:val="20"/>
              </w:rPr>
              <w:t>c</w:t>
            </w:r>
            <w:r w:rsidRPr="00C67B17">
              <w:rPr>
                <w:b/>
                <w:sz w:val="20"/>
                <w:szCs w:val="20"/>
              </w:rPr>
              <w:t>argo</w:t>
            </w:r>
          </w:p>
        </w:tc>
        <w:tc>
          <w:tcPr>
            <w:tcW w:w="7353" w:type="dxa"/>
            <w:tcBorders>
              <w:top w:val="single" w:sz="4" w:space="0" w:color="auto"/>
              <w:left w:val="single" w:sz="4" w:space="0" w:color="auto"/>
              <w:bottom w:val="single" w:sz="4" w:space="0" w:color="auto"/>
              <w:right w:val="single" w:sz="4" w:space="0" w:color="auto"/>
            </w:tcBorders>
          </w:tcPr>
          <w:p w:rsidR="00C61B67" w:rsidRPr="00C67B17" w:rsidRDefault="00C61B67" w:rsidP="008B17E9">
            <w:pPr>
              <w:spacing w:before="60" w:after="60" w:line="252" w:lineRule="auto"/>
              <w:rPr>
                <w:sz w:val="20"/>
                <w:szCs w:val="20"/>
              </w:rPr>
            </w:pPr>
            <w:r w:rsidRPr="00C67B17">
              <w:rPr>
                <w:sz w:val="20"/>
                <w:szCs w:val="20"/>
              </w:rPr>
              <w:t xml:space="preserve">Cargo </w:t>
            </w:r>
            <w:r w:rsidR="00BB652A">
              <w:rPr>
                <w:sz w:val="20"/>
                <w:szCs w:val="20"/>
              </w:rPr>
              <w:t>that</w:t>
            </w:r>
            <w:r w:rsidRPr="00C67B17">
              <w:rPr>
                <w:sz w:val="20"/>
                <w:szCs w:val="20"/>
              </w:rPr>
              <w:t xml:space="preserve"> is either discharged at port or delivered to </w:t>
            </w:r>
            <w:r w:rsidR="00BB652A">
              <w:rPr>
                <w:sz w:val="20"/>
                <w:szCs w:val="20"/>
              </w:rPr>
              <w:t xml:space="preserve">an </w:t>
            </w:r>
            <w:r w:rsidRPr="00C67B17">
              <w:rPr>
                <w:sz w:val="20"/>
                <w:szCs w:val="20"/>
              </w:rPr>
              <w:t xml:space="preserve">inland destination in excess of the manifested </w:t>
            </w:r>
            <w:r w:rsidR="008B17E9">
              <w:rPr>
                <w:sz w:val="20"/>
                <w:szCs w:val="20"/>
              </w:rPr>
              <w:t>b</w:t>
            </w:r>
            <w:r w:rsidRPr="00C67B17">
              <w:rPr>
                <w:sz w:val="20"/>
                <w:szCs w:val="20"/>
              </w:rPr>
              <w:t xml:space="preserve">ill of </w:t>
            </w:r>
            <w:r w:rsidR="008B17E9">
              <w:rPr>
                <w:sz w:val="20"/>
                <w:szCs w:val="20"/>
              </w:rPr>
              <w:t>l</w:t>
            </w:r>
            <w:r w:rsidRPr="00C67B17">
              <w:rPr>
                <w:sz w:val="20"/>
                <w:szCs w:val="20"/>
              </w:rPr>
              <w:t>ading quan</w:t>
            </w:r>
            <w:r w:rsidR="008B17E9">
              <w:rPr>
                <w:sz w:val="20"/>
                <w:szCs w:val="20"/>
              </w:rPr>
              <w:t>tity</w:t>
            </w:r>
          </w:p>
        </w:tc>
      </w:tr>
      <w:tr w:rsidR="00C61B67" w:rsidRPr="008F550F" w:rsidTr="00CB5004">
        <w:tc>
          <w:tcPr>
            <w:tcW w:w="1890" w:type="dxa"/>
            <w:tcBorders>
              <w:top w:val="single" w:sz="4" w:space="0" w:color="auto"/>
              <w:bottom w:val="single" w:sz="4" w:space="0" w:color="auto"/>
            </w:tcBorders>
          </w:tcPr>
          <w:p w:rsidR="00C61B67" w:rsidRPr="00C67B17" w:rsidRDefault="00C61B67" w:rsidP="00BB652A">
            <w:pPr>
              <w:spacing w:before="60" w:after="60" w:line="252" w:lineRule="auto"/>
              <w:rPr>
                <w:b/>
                <w:bCs/>
                <w:sz w:val="20"/>
                <w:szCs w:val="20"/>
              </w:rPr>
            </w:pPr>
            <w:r w:rsidRPr="00C67B17">
              <w:rPr>
                <w:b/>
                <w:bCs/>
                <w:sz w:val="20"/>
                <w:szCs w:val="20"/>
              </w:rPr>
              <w:t xml:space="preserve">Fiscal </w:t>
            </w:r>
            <w:r w:rsidR="00BB652A">
              <w:rPr>
                <w:b/>
                <w:bCs/>
                <w:sz w:val="20"/>
                <w:szCs w:val="20"/>
              </w:rPr>
              <w:t>y</w:t>
            </w:r>
            <w:r w:rsidRPr="00C67B17">
              <w:rPr>
                <w:b/>
                <w:bCs/>
                <w:sz w:val="20"/>
                <w:szCs w:val="20"/>
              </w:rPr>
              <w:t>ear (FY)</w:t>
            </w:r>
          </w:p>
        </w:tc>
        <w:tc>
          <w:tcPr>
            <w:tcW w:w="7353" w:type="dxa"/>
            <w:tcBorders>
              <w:top w:val="single" w:sz="4" w:space="0" w:color="auto"/>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The U.S. Government’s fiscal year begins October 1 and ends the following September 30.</w:t>
            </w:r>
          </w:p>
        </w:tc>
      </w:tr>
      <w:tr w:rsidR="00C61B67" w:rsidRPr="008F550F" w:rsidTr="00CB5004">
        <w:tc>
          <w:tcPr>
            <w:tcW w:w="1890" w:type="dxa"/>
            <w:tcBorders>
              <w:top w:val="single" w:sz="4" w:space="0" w:color="auto"/>
            </w:tcBorders>
          </w:tcPr>
          <w:p w:rsidR="00C61B67" w:rsidRPr="00C67B17" w:rsidRDefault="00C61B67" w:rsidP="00C61B67">
            <w:pPr>
              <w:spacing w:before="60" w:after="60" w:line="252" w:lineRule="auto"/>
              <w:rPr>
                <w:b/>
                <w:bCs/>
                <w:sz w:val="20"/>
                <w:szCs w:val="20"/>
              </w:rPr>
            </w:pPr>
            <w:r w:rsidRPr="00C67B17">
              <w:rPr>
                <w:b/>
                <w:bCs/>
                <w:sz w:val="20"/>
                <w:szCs w:val="20"/>
              </w:rPr>
              <w:t>Food for Peace Information Bulletins (FFPIBs)</w:t>
            </w:r>
          </w:p>
        </w:tc>
        <w:tc>
          <w:tcPr>
            <w:tcW w:w="7353" w:type="dxa"/>
            <w:tcBorders>
              <w:top w:val="single" w:sz="4" w:space="0" w:color="auto"/>
            </w:tcBorders>
          </w:tcPr>
          <w:p w:rsidR="00C61B67" w:rsidRPr="00C67B17" w:rsidRDefault="00C61B67" w:rsidP="00C61B67">
            <w:pPr>
              <w:spacing w:before="60" w:after="60" w:line="252" w:lineRule="auto"/>
              <w:rPr>
                <w:sz w:val="20"/>
                <w:szCs w:val="20"/>
              </w:rPr>
            </w:pPr>
            <w:r w:rsidRPr="00C67B17">
              <w:rPr>
                <w:sz w:val="20"/>
                <w:szCs w:val="20"/>
              </w:rPr>
              <w:t>FFPIBs communicate announcements of</w:t>
            </w:r>
            <w:r w:rsidR="00611787">
              <w:rPr>
                <w:sz w:val="20"/>
                <w:szCs w:val="20"/>
              </w:rPr>
              <w:t>,</w:t>
            </w:r>
            <w:r w:rsidRPr="00C67B17">
              <w:rPr>
                <w:sz w:val="20"/>
                <w:szCs w:val="20"/>
              </w:rPr>
              <w:t xml:space="preserve"> or modifications to</w:t>
            </w:r>
            <w:r w:rsidR="00611787">
              <w:rPr>
                <w:sz w:val="20"/>
                <w:szCs w:val="20"/>
              </w:rPr>
              <w:t>,</w:t>
            </w:r>
            <w:r w:rsidRPr="00C67B17">
              <w:rPr>
                <w:sz w:val="20"/>
                <w:szCs w:val="20"/>
              </w:rPr>
              <w:t xml:space="preserve"> Food for Peace policies and procedures.  </w:t>
            </w:r>
          </w:p>
        </w:tc>
      </w:tr>
      <w:tr w:rsidR="00C61B67" w:rsidRPr="008F550F" w:rsidTr="00CB5004">
        <w:tc>
          <w:tcPr>
            <w:tcW w:w="1890" w:type="dxa"/>
            <w:tcBorders>
              <w:top w:val="single" w:sz="4" w:space="0" w:color="auto"/>
            </w:tcBorders>
          </w:tcPr>
          <w:p w:rsidR="00C61B67" w:rsidRPr="00C67B17" w:rsidRDefault="00C61B67" w:rsidP="00C61B67">
            <w:pPr>
              <w:spacing w:before="60" w:after="60" w:line="252" w:lineRule="auto"/>
              <w:rPr>
                <w:b/>
                <w:sz w:val="20"/>
                <w:szCs w:val="20"/>
              </w:rPr>
            </w:pPr>
            <w:r w:rsidRPr="00C67B17">
              <w:rPr>
                <w:b/>
                <w:sz w:val="20"/>
                <w:szCs w:val="20"/>
              </w:rPr>
              <w:t>Food for Peace Management Information System (FFPMIS)</w:t>
            </w:r>
          </w:p>
        </w:tc>
        <w:tc>
          <w:tcPr>
            <w:tcW w:w="7353" w:type="dxa"/>
            <w:tcBorders>
              <w:top w:val="single" w:sz="4" w:space="0" w:color="auto"/>
            </w:tcBorders>
          </w:tcPr>
          <w:p w:rsidR="00C61B67" w:rsidRPr="00C67B17" w:rsidRDefault="00C61B67" w:rsidP="00611787">
            <w:pPr>
              <w:spacing w:before="60" w:after="60" w:line="252" w:lineRule="auto"/>
              <w:rPr>
                <w:b/>
                <w:sz w:val="20"/>
                <w:szCs w:val="20"/>
              </w:rPr>
            </w:pPr>
            <w:r w:rsidRPr="00C67B17">
              <w:rPr>
                <w:sz w:val="20"/>
                <w:szCs w:val="20"/>
              </w:rPr>
              <w:t xml:space="preserve">A comprehensive program, proposal, and financial management system implemented by the Office of Food for Peace (FFP) to enhance the office’s program management and reporting capabilities. It provides a collaborative environment for both FFP and its partners to manage activities and programs.  </w:t>
            </w:r>
          </w:p>
        </w:tc>
      </w:tr>
      <w:tr w:rsidR="00C61B67" w:rsidRPr="008F550F" w:rsidTr="00A37972">
        <w:tc>
          <w:tcPr>
            <w:tcW w:w="1890" w:type="dxa"/>
            <w:tcBorders>
              <w:bottom w:val="single" w:sz="4" w:space="0" w:color="auto"/>
            </w:tcBorders>
          </w:tcPr>
          <w:p w:rsidR="00C61B67" w:rsidRPr="00C67B17" w:rsidRDefault="00C61B67" w:rsidP="00C61B67">
            <w:pPr>
              <w:spacing w:before="60" w:after="60" w:line="252" w:lineRule="auto"/>
              <w:rPr>
                <w:b/>
                <w:sz w:val="20"/>
                <w:szCs w:val="20"/>
              </w:rPr>
            </w:pPr>
            <w:r w:rsidRPr="00C67B17">
              <w:rPr>
                <w:b/>
                <w:bCs/>
                <w:sz w:val="20"/>
                <w:szCs w:val="20"/>
              </w:rPr>
              <w:t>Force Majeure</w:t>
            </w:r>
          </w:p>
        </w:tc>
        <w:tc>
          <w:tcPr>
            <w:tcW w:w="7353" w:type="dxa"/>
            <w:tcBorders>
              <w:bottom w:val="single" w:sz="4" w:space="0" w:color="auto"/>
            </w:tcBorders>
          </w:tcPr>
          <w:p w:rsidR="00C61B67" w:rsidRPr="00C67B17" w:rsidRDefault="00C61B67" w:rsidP="00C61B67">
            <w:pPr>
              <w:spacing w:before="60" w:after="60" w:line="252" w:lineRule="auto"/>
              <w:rPr>
                <w:sz w:val="20"/>
                <w:szCs w:val="20"/>
              </w:rPr>
            </w:pPr>
            <w:r w:rsidRPr="00C67B17">
              <w:rPr>
                <w:sz w:val="20"/>
                <w:szCs w:val="20"/>
              </w:rPr>
              <w:t>The title of a standard clause found in contracts exempting the parties for non-fulfillment of their obligations by reasons of occurrences beyond their control, such as earthquakes, floods, or war.</w:t>
            </w:r>
          </w:p>
        </w:tc>
      </w:tr>
      <w:tr w:rsidR="008B17E9" w:rsidRPr="008F550F" w:rsidTr="00A37972">
        <w:tc>
          <w:tcPr>
            <w:tcW w:w="1890" w:type="dxa"/>
            <w:tcBorders>
              <w:bottom w:val="single" w:sz="4" w:space="0" w:color="auto"/>
            </w:tcBorders>
          </w:tcPr>
          <w:p w:rsidR="008B17E9" w:rsidRPr="00C67B17" w:rsidRDefault="008B17E9" w:rsidP="008B17E9">
            <w:pPr>
              <w:spacing w:before="60" w:after="60" w:line="252" w:lineRule="auto"/>
              <w:rPr>
                <w:b/>
                <w:sz w:val="20"/>
                <w:szCs w:val="20"/>
              </w:rPr>
            </w:pPr>
            <w:r w:rsidRPr="00C67B17">
              <w:rPr>
                <w:b/>
                <w:bCs/>
                <w:sz w:val="20"/>
                <w:szCs w:val="20"/>
              </w:rPr>
              <w:t xml:space="preserve">Fortified blended foods </w:t>
            </w:r>
            <w:r w:rsidRPr="00C67B17">
              <w:rPr>
                <w:b/>
                <w:sz w:val="20"/>
                <w:szCs w:val="20"/>
              </w:rPr>
              <w:t>(FBFs)</w:t>
            </w:r>
          </w:p>
        </w:tc>
        <w:tc>
          <w:tcPr>
            <w:tcW w:w="7353" w:type="dxa"/>
            <w:tcBorders>
              <w:bottom w:val="single" w:sz="4" w:space="0" w:color="auto"/>
            </w:tcBorders>
          </w:tcPr>
          <w:p w:rsidR="008B17E9" w:rsidRPr="00C67B17" w:rsidRDefault="008B17E9" w:rsidP="00611787">
            <w:pPr>
              <w:spacing w:before="60" w:after="60" w:line="252" w:lineRule="auto"/>
              <w:rPr>
                <w:sz w:val="20"/>
                <w:szCs w:val="20"/>
              </w:rPr>
            </w:pPr>
            <w:r w:rsidRPr="00C67B17">
              <w:rPr>
                <w:sz w:val="20"/>
                <w:szCs w:val="20"/>
              </w:rPr>
              <w:t xml:space="preserve">Mixtures of cereals and other ingredients (such as soybeans or pulses) that have been milled, blended, pre-cooked by extrusion or roasting, and fortified with a premix and a wide range of vitamins and minerals.  They include </w:t>
            </w:r>
            <w:r w:rsidRPr="00611787">
              <w:rPr>
                <w:bCs/>
                <w:sz w:val="20"/>
                <w:szCs w:val="20"/>
              </w:rPr>
              <w:t xml:space="preserve">CSB </w:t>
            </w:r>
            <w:r w:rsidR="00611787">
              <w:rPr>
                <w:bCs/>
                <w:sz w:val="20"/>
                <w:szCs w:val="20"/>
              </w:rPr>
              <w:t>(c</w:t>
            </w:r>
            <w:r w:rsidRPr="00611787">
              <w:rPr>
                <w:sz w:val="20"/>
                <w:szCs w:val="20"/>
              </w:rPr>
              <w:t xml:space="preserve">orn </w:t>
            </w:r>
            <w:r w:rsidR="00611787">
              <w:rPr>
                <w:sz w:val="20"/>
                <w:szCs w:val="20"/>
              </w:rPr>
              <w:t>s</w:t>
            </w:r>
            <w:r w:rsidRPr="00611787">
              <w:rPr>
                <w:sz w:val="20"/>
                <w:szCs w:val="20"/>
              </w:rPr>
              <w:t>oy</w:t>
            </w:r>
            <w:r w:rsidR="00611787">
              <w:rPr>
                <w:sz w:val="20"/>
                <w:szCs w:val="20"/>
              </w:rPr>
              <w:t xml:space="preserve"> b</w:t>
            </w:r>
            <w:r w:rsidRPr="00611787">
              <w:rPr>
                <w:sz w:val="20"/>
                <w:szCs w:val="20"/>
              </w:rPr>
              <w:t>lend</w:t>
            </w:r>
            <w:r w:rsidR="00611787">
              <w:rPr>
                <w:sz w:val="20"/>
                <w:szCs w:val="20"/>
              </w:rPr>
              <w:t xml:space="preserve">), </w:t>
            </w:r>
            <w:r w:rsidRPr="00611787">
              <w:rPr>
                <w:bCs/>
                <w:sz w:val="20"/>
                <w:szCs w:val="20"/>
              </w:rPr>
              <w:t>WSB</w:t>
            </w:r>
            <w:r w:rsidRPr="00611787">
              <w:rPr>
                <w:sz w:val="20"/>
                <w:szCs w:val="20"/>
              </w:rPr>
              <w:t xml:space="preserve"> </w:t>
            </w:r>
            <w:r w:rsidR="00611787">
              <w:rPr>
                <w:sz w:val="20"/>
                <w:szCs w:val="20"/>
              </w:rPr>
              <w:t>(wh</w:t>
            </w:r>
            <w:r w:rsidRPr="00611787">
              <w:rPr>
                <w:sz w:val="20"/>
                <w:szCs w:val="20"/>
              </w:rPr>
              <w:t xml:space="preserve">eat </w:t>
            </w:r>
            <w:r w:rsidR="00611787">
              <w:rPr>
                <w:sz w:val="20"/>
                <w:szCs w:val="20"/>
              </w:rPr>
              <w:t>s</w:t>
            </w:r>
            <w:r w:rsidRPr="00611787">
              <w:rPr>
                <w:sz w:val="20"/>
                <w:szCs w:val="20"/>
              </w:rPr>
              <w:t>oy</w:t>
            </w:r>
            <w:r w:rsidR="00611787">
              <w:rPr>
                <w:sz w:val="20"/>
                <w:szCs w:val="20"/>
              </w:rPr>
              <w:t xml:space="preserve"> b</w:t>
            </w:r>
            <w:r w:rsidRPr="00611787">
              <w:rPr>
                <w:sz w:val="20"/>
                <w:szCs w:val="20"/>
              </w:rPr>
              <w:t>lend</w:t>
            </w:r>
            <w:r w:rsidR="00611787">
              <w:rPr>
                <w:sz w:val="20"/>
                <w:szCs w:val="20"/>
              </w:rPr>
              <w:t>),</w:t>
            </w:r>
            <w:r w:rsidRPr="00611787">
              <w:rPr>
                <w:sz w:val="20"/>
                <w:szCs w:val="20"/>
              </w:rPr>
              <w:t xml:space="preserve"> and </w:t>
            </w:r>
            <w:r w:rsidRPr="00611787">
              <w:rPr>
                <w:bCs/>
                <w:sz w:val="20"/>
                <w:szCs w:val="20"/>
              </w:rPr>
              <w:t>RSB</w:t>
            </w:r>
            <w:r w:rsidR="00611787">
              <w:rPr>
                <w:bCs/>
                <w:sz w:val="20"/>
                <w:szCs w:val="20"/>
              </w:rPr>
              <w:t xml:space="preserve"> (r</w:t>
            </w:r>
            <w:r w:rsidRPr="00611787">
              <w:rPr>
                <w:sz w:val="20"/>
                <w:szCs w:val="20"/>
              </w:rPr>
              <w:t xml:space="preserve">ice </w:t>
            </w:r>
            <w:r w:rsidR="00611787">
              <w:rPr>
                <w:sz w:val="20"/>
                <w:szCs w:val="20"/>
              </w:rPr>
              <w:t>s</w:t>
            </w:r>
            <w:r w:rsidRPr="00611787">
              <w:rPr>
                <w:sz w:val="20"/>
                <w:szCs w:val="20"/>
              </w:rPr>
              <w:t>oy</w:t>
            </w:r>
            <w:r w:rsidR="00611787">
              <w:rPr>
                <w:sz w:val="20"/>
                <w:szCs w:val="20"/>
              </w:rPr>
              <w:t xml:space="preserve"> b</w:t>
            </w:r>
            <w:r w:rsidRPr="00611787">
              <w:rPr>
                <w:sz w:val="20"/>
                <w:szCs w:val="20"/>
              </w:rPr>
              <w:t>lend</w:t>
            </w:r>
            <w:r w:rsidR="00611787">
              <w:rPr>
                <w:sz w:val="20"/>
                <w:szCs w:val="20"/>
              </w:rPr>
              <w:t>).</w:t>
            </w:r>
          </w:p>
        </w:tc>
      </w:tr>
      <w:tr w:rsidR="008B17E9" w:rsidRPr="008F550F" w:rsidTr="00A37972">
        <w:tc>
          <w:tcPr>
            <w:tcW w:w="1890" w:type="dxa"/>
            <w:tcBorders>
              <w:bottom w:val="single" w:sz="4" w:space="0" w:color="auto"/>
            </w:tcBorders>
          </w:tcPr>
          <w:p w:rsidR="008B17E9" w:rsidRPr="00C67B17" w:rsidRDefault="008B17E9" w:rsidP="00611787">
            <w:pPr>
              <w:spacing w:before="60" w:after="60" w:line="252" w:lineRule="auto"/>
              <w:rPr>
                <w:b/>
                <w:sz w:val="20"/>
                <w:szCs w:val="20"/>
              </w:rPr>
            </w:pPr>
            <w:r w:rsidRPr="00C67B17">
              <w:rPr>
                <w:b/>
                <w:sz w:val="20"/>
                <w:szCs w:val="20"/>
              </w:rPr>
              <w:t xml:space="preserve">Freight </w:t>
            </w:r>
            <w:r w:rsidR="00611787">
              <w:rPr>
                <w:b/>
                <w:sz w:val="20"/>
                <w:szCs w:val="20"/>
              </w:rPr>
              <w:t>f</w:t>
            </w:r>
            <w:r w:rsidRPr="00C67B17">
              <w:rPr>
                <w:b/>
                <w:sz w:val="20"/>
                <w:szCs w:val="20"/>
              </w:rPr>
              <w:t>orwarder</w:t>
            </w:r>
            <w:r>
              <w:rPr>
                <w:b/>
                <w:sz w:val="20"/>
                <w:szCs w:val="20"/>
              </w:rPr>
              <w:t xml:space="preserve"> </w:t>
            </w:r>
            <w:r w:rsidRPr="00C67B17">
              <w:rPr>
                <w:b/>
                <w:bCs/>
                <w:sz w:val="20"/>
                <w:szCs w:val="20"/>
              </w:rPr>
              <w:t>(</w:t>
            </w:r>
            <w:r>
              <w:rPr>
                <w:b/>
                <w:bCs/>
                <w:sz w:val="20"/>
                <w:szCs w:val="20"/>
              </w:rPr>
              <w:t>also</w:t>
            </w:r>
            <w:r w:rsidRPr="00C67B17">
              <w:rPr>
                <w:b/>
                <w:bCs/>
                <w:sz w:val="20"/>
                <w:szCs w:val="20"/>
              </w:rPr>
              <w:t xml:space="preserve"> </w:t>
            </w:r>
            <w:r w:rsidR="00611787">
              <w:rPr>
                <w:b/>
                <w:bCs/>
                <w:sz w:val="20"/>
                <w:szCs w:val="20"/>
              </w:rPr>
              <w:t>f</w:t>
            </w:r>
            <w:r w:rsidRPr="00C67B17">
              <w:rPr>
                <w:b/>
                <w:bCs/>
                <w:sz w:val="20"/>
                <w:szCs w:val="20"/>
              </w:rPr>
              <w:t xml:space="preserve">orwarder, </w:t>
            </w:r>
            <w:r w:rsidR="00611787">
              <w:rPr>
                <w:b/>
                <w:bCs/>
                <w:sz w:val="20"/>
                <w:szCs w:val="20"/>
              </w:rPr>
              <w:t>f</w:t>
            </w:r>
            <w:r w:rsidRPr="00C67B17">
              <w:rPr>
                <w:b/>
                <w:bCs/>
                <w:sz w:val="20"/>
                <w:szCs w:val="20"/>
              </w:rPr>
              <w:t xml:space="preserve">oreign </w:t>
            </w:r>
            <w:r w:rsidR="00611787">
              <w:rPr>
                <w:b/>
                <w:bCs/>
                <w:sz w:val="20"/>
                <w:szCs w:val="20"/>
              </w:rPr>
              <w:t>f</w:t>
            </w:r>
            <w:r w:rsidRPr="00C67B17">
              <w:rPr>
                <w:b/>
                <w:bCs/>
                <w:sz w:val="20"/>
                <w:szCs w:val="20"/>
              </w:rPr>
              <w:t xml:space="preserve">reight </w:t>
            </w:r>
            <w:r w:rsidR="00611787">
              <w:rPr>
                <w:b/>
                <w:bCs/>
                <w:sz w:val="20"/>
                <w:szCs w:val="20"/>
              </w:rPr>
              <w:t>f</w:t>
            </w:r>
            <w:r w:rsidRPr="00C67B17">
              <w:rPr>
                <w:b/>
                <w:bCs/>
                <w:sz w:val="20"/>
                <w:szCs w:val="20"/>
              </w:rPr>
              <w:t>orwarder)</w:t>
            </w:r>
          </w:p>
        </w:tc>
        <w:tc>
          <w:tcPr>
            <w:tcW w:w="7353" w:type="dxa"/>
            <w:tcBorders>
              <w:bottom w:val="single" w:sz="4" w:space="0" w:color="auto"/>
            </w:tcBorders>
          </w:tcPr>
          <w:p w:rsidR="008B17E9" w:rsidRPr="00C67B17" w:rsidRDefault="008B17E9" w:rsidP="00611787">
            <w:pPr>
              <w:spacing w:before="60" w:after="60" w:line="252" w:lineRule="auto"/>
              <w:rPr>
                <w:sz w:val="20"/>
                <w:szCs w:val="20"/>
              </w:rPr>
            </w:pPr>
            <w:r w:rsidRPr="00C67B17">
              <w:rPr>
                <w:sz w:val="20"/>
                <w:szCs w:val="20"/>
              </w:rPr>
              <w:t>(US side) An independent business that dispatches shipments for exporters for a fee. The firm may ship by land, air, or sea, or it may specialize. Usually</w:t>
            </w:r>
            <w:r w:rsidR="00611787">
              <w:rPr>
                <w:sz w:val="20"/>
                <w:szCs w:val="20"/>
              </w:rPr>
              <w:t>,</w:t>
            </w:r>
            <w:r w:rsidRPr="00C67B17">
              <w:rPr>
                <w:sz w:val="20"/>
                <w:szCs w:val="20"/>
              </w:rPr>
              <w:t xml:space="preserve"> it handles all the services connected with an export shipment, including preparation of documents, booking cargo space, warehousing, pier delivery, and export clearance. The firm may also handle banking and insurance services on behalf of a client.</w:t>
            </w:r>
          </w:p>
        </w:tc>
      </w:tr>
      <w:tr w:rsidR="008B17E9" w:rsidRPr="008F550F" w:rsidTr="00A37972">
        <w:tc>
          <w:tcPr>
            <w:tcW w:w="1890" w:type="dxa"/>
            <w:tcBorders>
              <w:top w:val="single" w:sz="4" w:space="0" w:color="auto"/>
            </w:tcBorders>
          </w:tcPr>
          <w:p w:rsidR="008B17E9" w:rsidRPr="00C67B17" w:rsidRDefault="008B17E9" w:rsidP="00611787">
            <w:pPr>
              <w:spacing w:before="60" w:after="60" w:line="252" w:lineRule="auto"/>
              <w:rPr>
                <w:b/>
                <w:sz w:val="20"/>
                <w:szCs w:val="20"/>
              </w:rPr>
            </w:pPr>
            <w:r w:rsidRPr="00C67B17">
              <w:rPr>
                <w:b/>
                <w:sz w:val="20"/>
                <w:szCs w:val="20"/>
              </w:rPr>
              <w:t xml:space="preserve">General </w:t>
            </w:r>
            <w:r w:rsidR="00611787">
              <w:rPr>
                <w:b/>
                <w:sz w:val="20"/>
                <w:szCs w:val="20"/>
              </w:rPr>
              <w:t>a</w:t>
            </w:r>
            <w:r w:rsidRPr="00C67B17">
              <w:rPr>
                <w:b/>
                <w:sz w:val="20"/>
                <w:szCs w:val="20"/>
              </w:rPr>
              <w:t>verage</w:t>
            </w:r>
          </w:p>
        </w:tc>
        <w:tc>
          <w:tcPr>
            <w:tcW w:w="7353" w:type="dxa"/>
            <w:tcBorders>
              <w:top w:val="single" w:sz="4" w:space="0" w:color="auto"/>
            </w:tcBorders>
          </w:tcPr>
          <w:p w:rsidR="008B17E9" w:rsidRPr="00C67B17" w:rsidRDefault="008B17E9" w:rsidP="008B17E9">
            <w:pPr>
              <w:spacing w:before="60" w:after="60" w:line="252" w:lineRule="auto"/>
              <w:rPr>
                <w:sz w:val="20"/>
                <w:szCs w:val="20"/>
              </w:rPr>
            </w:pPr>
            <w:r w:rsidRPr="00C67B17">
              <w:rPr>
                <w:sz w:val="20"/>
                <w:szCs w:val="20"/>
              </w:rPr>
              <w:t>A shipping company causes a deliberate loss or damage to cargo in the face of an imminent peril to save a ship or cargo on board.</w:t>
            </w:r>
          </w:p>
        </w:tc>
      </w:tr>
      <w:tr w:rsidR="008B17E9" w:rsidRPr="008F550F" w:rsidTr="00A37972">
        <w:tc>
          <w:tcPr>
            <w:tcW w:w="1890" w:type="dxa"/>
            <w:tcBorders>
              <w:top w:val="single" w:sz="4" w:space="0" w:color="auto"/>
            </w:tcBorders>
          </w:tcPr>
          <w:p w:rsidR="008B17E9" w:rsidRPr="00C67B17" w:rsidRDefault="008B17E9" w:rsidP="008B17E9">
            <w:pPr>
              <w:spacing w:before="60" w:after="60" w:line="252" w:lineRule="auto"/>
              <w:rPr>
                <w:b/>
                <w:sz w:val="20"/>
                <w:szCs w:val="20"/>
              </w:rPr>
            </w:pPr>
            <w:r w:rsidRPr="00C67B17">
              <w:rPr>
                <w:b/>
                <w:sz w:val="20"/>
                <w:szCs w:val="20"/>
              </w:rPr>
              <w:t>Incoterms</w:t>
            </w:r>
          </w:p>
        </w:tc>
        <w:tc>
          <w:tcPr>
            <w:tcW w:w="7353" w:type="dxa"/>
            <w:tcBorders>
              <w:top w:val="single" w:sz="4" w:space="0" w:color="auto"/>
            </w:tcBorders>
          </w:tcPr>
          <w:p w:rsidR="008B17E9" w:rsidRPr="00C67B17" w:rsidRDefault="008B17E9" w:rsidP="00611787">
            <w:pPr>
              <w:spacing w:before="60" w:after="60" w:line="252" w:lineRule="auto"/>
              <w:rPr>
                <w:sz w:val="20"/>
                <w:szCs w:val="20"/>
              </w:rPr>
            </w:pPr>
            <w:r>
              <w:rPr>
                <w:sz w:val="20"/>
                <w:szCs w:val="20"/>
              </w:rPr>
              <w:t>A</w:t>
            </w:r>
            <w:r w:rsidRPr="00C67B17">
              <w:rPr>
                <w:sz w:val="20"/>
                <w:szCs w:val="20"/>
              </w:rPr>
              <w:t xml:space="preserve"> set of international rules issued by the International Chamber of Commerce to help interpret the chief terms of delivery used in foreign trade contracts. They define the rights and obligations of the seller and buyer with respect to the party responsible for packing, transport, insurance, handling, and customs clearing</w:t>
            </w:r>
            <w:r w:rsidR="00611787">
              <w:rPr>
                <w:sz w:val="20"/>
                <w:szCs w:val="20"/>
              </w:rPr>
              <w:t>,</w:t>
            </w:r>
            <w:r w:rsidRPr="00C67B17">
              <w:rPr>
                <w:sz w:val="20"/>
                <w:szCs w:val="20"/>
              </w:rPr>
              <w:t xml:space="preserve"> and the point and time at which possession of shipped items passes from seller to buyer.</w:t>
            </w:r>
          </w:p>
        </w:tc>
      </w:tr>
      <w:tr w:rsidR="008B17E9" w:rsidRPr="008F550F" w:rsidTr="00370662">
        <w:tc>
          <w:tcPr>
            <w:tcW w:w="1890" w:type="dxa"/>
          </w:tcPr>
          <w:p w:rsidR="008B17E9" w:rsidRPr="00C67B17" w:rsidRDefault="008B17E9" w:rsidP="00611787">
            <w:pPr>
              <w:spacing w:before="60" w:after="60" w:line="252" w:lineRule="auto"/>
              <w:rPr>
                <w:b/>
                <w:sz w:val="20"/>
                <w:szCs w:val="20"/>
              </w:rPr>
            </w:pPr>
            <w:r w:rsidRPr="00C67B17">
              <w:rPr>
                <w:b/>
                <w:bCs/>
                <w:sz w:val="20"/>
                <w:szCs w:val="20"/>
              </w:rPr>
              <w:t xml:space="preserve">Inland </w:t>
            </w:r>
            <w:r w:rsidR="00611787">
              <w:rPr>
                <w:b/>
                <w:bCs/>
                <w:sz w:val="20"/>
                <w:szCs w:val="20"/>
              </w:rPr>
              <w:t>c</w:t>
            </w:r>
            <w:r w:rsidRPr="00C67B17">
              <w:rPr>
                <w:b/>
                <w:bCs/>
                <w:sz w:val="20"/>
                <w:szCs w:val="20"/>
              </w:rPr>
              <w:t>arrier</w:t>
            </w:r>
          </w:p>
        </w:tc>
        <w:tc>
          <w:tcPr>
            <w:tcW w:w="7353" w:type="dxa"/>
          </w:tcPr>
          <w:p w:rsidR="008B17E9" w:rsidRPr="00C67B17" w:rsidRDefault="008B17E9" w:rsidP="00611787">
            <w:pPr>
              <w:spacing w:before="60" w:after="60" w:line="252" w:lineRule="auto"/>
              <w:rPr>
                <w:sz w:val="20"/>
                <w:szCs w:val="20"/>
              </w:rPr>
            </w:pPr>
            <w:r w:rsidRPr="00C67B17">
              <w:rPr>
                <w:sz w:val="20"/>
                <w:szCs w:val="20"/>
              </w:rPr>
              <w:t xml:space="preserve">A transportation line </w:t>
            </w:r>
            <w:r w:rsidR="00611787">
              <w:rPr>
                <w:sz w:val="20"/>
                <w:szCs w:val="20"/>
              </w:rPr>
              <w:t>that</w:t>
            </w:r>
            <w:r w:rsidRPr="00C67B17">
              <w:rPr>
                <w:sz w:val="20"/>
                <w:szCs w:val="20"/>
              </w:rPr>
              <w:t xml:space="preserve"> hauls cargo betw</w:t>
            </w:r>
            <w:r w:rsidR="00611787">
              <w:rPr>
                <w:sz w:val="20"/>
                <w:szCs w:val="20"/>
              </w:rPr>
              <w:t>een sea ports and inland points</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Internal control</w:t>
            </w:r>
          </w:p>
        </w:tc>
        <w:tc>
          <w:tcPr>
            <w:tcW w:w="7353" w:type="dxa"/>
          </w:tcPr>
          <w:p w:rsidR="008B17E9" w:rsidRPr="00C67B17" w:rsidRDefault="008B17E9" w:rsidP="008B17E9">
            <w:pPr>
              <w:spacing w:before="60" w:after="60" w:line="252" w:lineRule="auto"/>
              <w:rPr>
                <w:sz w:val="20"/>
                <w:szCs w:val="20"/>
              </w:rPr>
            </w:pPr>
            <w:r w:rsidRPr="00C67B17">
              <w:rPr>
                <w:sz w:val="20"/>
                <w:szCs w:val="20"/>
              </w:rPr>
              <w:t xml:space="preserve">Procedures designed to </w:t>
            </w:r>
            <w:r>
              <w:rPr>
                <w:sz w:val="20"/>
                <w:szCs w:val="20"/>
              </w:rPr>
              <w:t xml:space="preserve">provide reasonable </w:t>
            </w:r>
            <w:r w:rsidRPr="00C67B17">
              <w:rPr>
                <w:sz w:val="20"/>
                <w:szCs w:val="20"/>
              </w:rPr>
              <w:t>assur</w:t>
            </w:r>
            <w:r>
              <w:rPr>
                <w:sz w:val="20"/>
                <w:szCs w:val="20"/>
              </w:rPr>
              <w:t>ance</w:t>
            </w:r>
            <w:r w:rsidRPr="00C67B17">
              <w:rPr>
                <w:sz w:val="20"/>
                <w:szCs w:val="20"/>
              </w:rPr>
              <w:t xml:space="preserve"> </w:t>
            </w:r>
            <w:r w:rsidR="00611787">
              <w:rPr>
                <w:sz w:val="20"/>
                <w:szCs w:val="20"/>
              </w:rPr>
              <w:t xml:space="preserve">of adherence to </w:t>
            </w:r>
            <w:r>
              <w:rPr>
                <w:sz w:val="20"/>
                <w:szCs w:val="20"/>
              </w:rPr>
              <w:t>compliance rules and regulations, and</w:t>
            </w:r>
            <w:r w:rsidRPr="00C67B17">
              <w:rPr>
                <w:sz w:val="20"/>
                <w:szCs w:val="20"/>
              </w:rPr>
              <w:t xml:space="preserve"> </w:t>
            </w:r>
            <w:r w:rsidR="00611787">
              <w:rPr>
                <w:sz w:val="20"/>
                <w:szCs w:val="20"/>
              </w:rPr>
              <w:t xml:space="preserve">appropriate use and accounting for </w:t>
            </w:r>
            <w:r w:rsidRPr="00C67B17">
              <w:rPr>
                <w:sz w:val="20"/>
                <w:szCs w:val="20"/>
              </w:rPr>
              <w:t>resources</w:t>
            </w:r>
            <w:r>
              <w:rPr>
                <w:sz w:val="20"/>
                <w:szCs w:val="20"/>
              </w:rPr>
              <w:t>. Internal control includes</w:t>
            </w:r>
            <w:r w:rsidRPr="00C67B17">
              <w:rPr>
                <w:sz w:val="20"/>
                <w:szCs w:val="20"/>
              </w:rPr>
              <w:t xml:space="preserve"> all the measures taken by the Awardee </w:t>
            </w:r>
            <w:r>
              <w:rPr>
                <w:sz w:val="20"/>
                <w:szCs w:val="20"/>
              </w:rPr>
              <w:t>to</w:t>
            </w:r>
            <w:r w:rsidRPr="00C67B17">
              <w:rPr>
                <w:sz w:val="20"/>
                <w:szCs w:val="20"/>
              </w:rPr>
              <w:t>:</w:t>
            </w:r>
          </w:p>
          <w:p w:rsidR="008B17E9" w:rsidRPr="00C67B17" w:rsidRDefault="008B17E9" w:rsidP="002B33CE">
            <w:pPr>
              <w:numPr>
                <w:ilvl w:val="0"/>
                <w:numId w:val="6"/>
              </w:numPr>
              <w:spacing w:before="0" w:after="0" w:line="252" w:lineRule="auto"/>
              <w:ind w:left="360"/>
              <w:rPr>
                <w:sz w:val="20"/>
                <w:szCs w:val="20"/>
              </w:rPr>
            </w:pPr>
            <w:r w:rsidRPr="00C67B17">
              <w:rPr>
                <w:sz w:val="20"/>
                <w:szCs w:val="20"/>
              </w:rPr>
              <w:t>Protect resources (including commodities) against loss, damage and misuse</w:t>
            </w:r>
          </w:p>
          <w:p w:rsidR="008B17E9" w:rsidRPr="00C67B17" w:rsidRDefault="008B17E9" w:rsidP="002B33CE">
            <w:pPr>
              <w:numPr>
                <w:ilvl w:val="0"/>
                <w:numId w:val="6"/>
              </w:numPr>
              <w:spacing w:before="0" w:after="0" w:line="252" w:lineRule="auto"/>
              <w:ind w:left="360"/>
              <w:rPr>
                <w:sz w:val="20"/>
                <w:szCs w:val="20"/>
              </w:rPr>
            </w:pPr>
            <w:r w:rsidRPr="00C67B17">
              <w:rPr>
                <w:sz w:val="20"/>
                <w:szCs w:val="20"/>
              </w:rPr>
              <w:t>Ensur</w:t>
            </w:r>
            <w:r>
              <w:rPr>
                <w:sz w:val="20"/>
                <w:szCs w:val="20"/>
              </w:rPr>
              <w:t>e</w:t>
            </w:r>
            <w:r w:rsidRPr="00C67B17">
              <w:rPr>
                <w:sz w:val="20"/>
                <w:szCs w:val="20"/>
              </w:rPr>
              <w:t xml:space="preserve"> accuracy and reliability in recordkeeping and reporting data</w:t>
            </w:r>
          </w:p>
          <w:p w:rsidR="008B17E9" w:rsidRPr="00C67B17" w:rsidRDefault="008B17E9" w:rsidP="002B33CE">
            <w:pPr>
              <w:numPr>
                <w:ilvl w:val="0"/>
                <w:numId w:val="6"/>
              </w:numPr>
              <w:spacing w:before="0" w:after="0" w:line="252" w:lineRule="auto"/>
              <w:ind w:left="360"/>
              <w:rPr>
                <w:sz w:val="20"/>
                <w:szCs w:val="20"/>
              </w:rPr>
            </w:pPr>
            <w:r w:rsidRPr="00C67B17">
              <w:rPr>
                <w:sz w:val="20"/>
                <w:szCs w:val="20"/>
              </w:rPr>
              <w:t>Secur</w:t>
            </w:r>
            <w:r>
              <w:rPr>
                <w:sz w:val="20"/>
                <w:szCs w:val="20"/>
              </w:rPr>
              <w:t>e</w:t>
            </w:r>
            <w:r w:rsidRPr="00C67B17">
              <w:rPr>
                <w:sz w:val="20"/>
                <w:szCs w:val="20"/>
              </w:rPr>
              <w:t xml:space="preserve"> compliance with the policies of the organization</w:t>
            </w:r>
          </w:p>
          <w:p w:rsidR="008B17E9" w:rsidRPr="00C67B17" w:rsidRDefault="008B17E9" w:rsidP="002B33CE">
            <w:pPr>
              <w:numPr>
                <w:ilvl w:val="0"/>
                <w:numId w:val="6"/>
              </w:numPr>
              <w:spacing w:before="0" w:after="0" w:line="252" w:lineRule="auto"/>
              <w:ind w:left="360"/>
              <w:rPr>
                <w:sz w:val="20"/>
                <w:szCs w:val="20"/>
              </w:rPr>
            </w:pPr>
            <w:r w:rsidRPr="00C67B17">
              <w:rPr>
                <w:sz w:val="20"/>
                <w:szCs w:val="20"/>
              </w:rPr>
              <w:t>Secur</w:t>
            </w:r>
            <w:r>
              <w:rPr>
                <w:sz w:val="20"/>
                <w:szCs w:val="20"/>
              </w:rPr>
              <w:t>e</w:t>
            </w:r>
            <w:r w:rsidRPr="00C67B17">
              <w:rPr>
                <w:sz w:val="20"/>
                <w:szCs w:val="20"/>
              </w:rPr>
              <w:t xml:space="preserve"> compliance with the terms and conditions of USAID agreement</w:t>
            </w:r>
          </w:p>
          <w:p w:rsidR="008B17E9" w:rsidRPr="00C67B17" w:rsidRDefault="008B17E9" w:rsidP="008B17E9">
            <w:pPr>
              <w:spacing w:before="60" w:after="60" w:line="252" w:lineRule="auto"/>
              <w:rPr>
                <w:sz w:val="20"/>
                <w:szCs w:val="20"/>
              </w:rPr>
            </w:pPr>
          </w:p>
        </w:tc>
      </w:tr>
      <w:tr w:rsidR="002B33CE" w:rsidRPr="008F550F" w:rsidTr="00370662">
        <w:tc>
          <w:tcPr>
            <w:tcW w:w="1890" w:type="dxa"/>
          </w:tcPr>
          <w:p w:rsidR="002B33CE" w:rsidRPr="00C67B17" w:rsidRDefault="002B33CE" w:rsidP="008B17E9">
            <w:pPr>
              <w:spacing w:before="60" w:after="60" w:line="252" w:lineRule="auto"/>
              <w:rPr>
                <w:b/>
                <w:sz w:val="20"/>
                <w:szCs w:val="20"/>
              </w:rPr>
            </w:pPr>
            <w:r w:rsidRPr="00C67B17">
              <w:rPr>
                <w:b/>
                <w:sz w:val="20"/>
                <w:szCs w:val="20"/>
              </w:rPr>
              <w:lastRenderedPageBreak/>
              <w:t>Internal control</w:t>
            </w:r>
            <w:r>
              <w:rPr>
                <w:b/>
                <w:sz w:val="20"/>
                <w:szCs w:val="20"/>
              </w:rPr>
              <w:t xml:space="preserve"> (cont’d)</w:t>
            </w:r>
          </w:p>
        </w:tc>
        <w:tc>
          <w:tcPr>
            <w:tcW w:w="7353" w:type="dxa"/>
          </w:tcPr>
          <w:p w:rsidR="002B33CE" w:rsidRPr="00C67B17" w:rsidRDefault="002B33CE" w:rsidP="006A6D8E">
            <w:pPr>
              <w:spacing w:before="60" w:after="60" w:line="252" w:lineRule="auto"/>
              <w:rPr>
                <w:sz w:val="20"/>
                <w:szCs w:val="20"/>
              </w:rPr>
            </w:pPr>
            <w:r w:rsidRPr="00C67B17">
              <w:rPr>
                <w:sz w:val="20"/>
                <w:szCs w:val="20"/>
              </w:rPr>
              <w:t>Internal controls are simply good business practices that provide reasonable assurance of achieving the objective of distributi</w:t>
            </w:r>
            <w:r w:rsidR="006A6D8E">
              <w:rPr>
                <w:sz w:val="20"/>
                <w:szCs w:val="20"/>
              </w:rPr>
              <w:t>ng</w:t>
            </w:r>
            <w:r w:rsidRPr="00C67B17">
              <w:rPr>
                <w:sz w:val="20"/>
                <w:szCs w:val="20"/>
              </w:rPr>
              <w:t xml:space="preserve"> commodity in good condition to eligible recipients.</w:t>
            </w:r>
          </w:p>
        </w:tc>
      </w:tr>
      <w:tr w:rsidR="008B17E9" w:rsidRPr="008F550F" w:rsidTr="00A37972">
        <w:tc>
          <w:tcPr>
            <w:tcW w:w="1890" w:type="dxa"/>
            <w:tcBorders>
              <w:bottom w:val="single" w:sz="4" w:space="0" w:color="auto"/>
            </w:tcBorders>
          </w:tcPr>
          <w:p w:rsidR="008B17E9" w:rsidRPr="00C67B17" w:rsidRDefault="008B17E9" w:rsidP="00491C89">
            <w:pPr>
              <w:spacing w:before="60" w:after="60" w:line="252" w:lineRule="auto"/>
              <w:rPr>
                <w:b/>
                <w:sz w:val="20"/>
                <w:szCs w:val="20"/>
              </w:rPr>
            </w:pPr>
            <w:r w:rsidRPr="00C67B17">
              <w:rPr>
                <w:b/>
                <w:sz w:val="20"/>
                <w:szCs w:val="20"/>
              </w:rPr>
              <w:t xml:space="preserve">Internal </w:t>
            </w:r>
            <w:r w:rsidR="00491C89">
              <w:rPr>
                <w:b/>
                <w:sz w:val="20"/>
                <w:szCs w:val="20"/>
              </w:rPr>
              <w:t>l</w:t>
            </w:r>
            <w:r w:rsidRPr="00C67B17">
              <w:rPr>
                <w:b/>
                <w:sz w:val="20"/>
                <w:szCs w:val="20"/>
              </w:rPr>
              <w:t>oss</w:t>
            </w:r>
          </w:p>
        </w:tc>
        <w:tc>
          <w:tcPr>
            <w:tcW w:w="7353" w:type="dxa"/>
            <w:tcBorders>
              <w:bottom w:val="single" w:sz="4" w:space="0" w:color="auto"/>
            </w:tcBorders>
          </w:tcPr>
          <w:p w:rsidR="008B17E9" w:rsidRPr="00C67B17" w:rsidRDefault="008B17E9" w:rsidP="008B17E9">
            <w:pPr>
              <w:spacing w:before="60" w:after="60" w:line="252" w:lineRule="auto"/>
              <w:rPr>
                <w:sz w:val="20"/>
                <w:szCs w:val="20"/>
              </w:rPr>
            </w:pPr>
            <w:r w:rsidRPr="00C67B17">
              <w:rPr>
                <w:sz w:val="20"/>
                <w:szCs w:val="20"/>
              </w:rPr>
              <w:t>A loss in quantity or quality of commodities that occurs between the time the Awardee takes custody from the shipping company and the time of distribution to recipients.  This includes commodity losses during transport within the country, storage or distribution.</w:t>
            </w:r>
          </w:p>
        </w:tc>
      </w:tr>
      <w:tr w:rsidR="008B17E9" w:rsidRPr="008F550F" w:rsidTr="00A37972">
        <w:tc>
          <w:tcPr>
            <w:tcW w:w="1890" w:type="dxa"/>
            <w:tcBorders>
              <w:bottom w:val="single" w:sz="4" w:space="0" w:color="auto"/>
            </w:tcBorders>
          </w:tcPr>
          <w:p w:rsidR="008B17E9" w:rsidRPr="00C67B17" w:rsidRDefault="008B17E9" w:rsidP="00491C89">
            <w:pPr>
              <w:spacing w:before="60" w:after="60" w:line="252" w:lineRule="auto"/>
              <w:rPr>
                <w:b/>
                <w:bCs/>
                <w:sz w:val="20"/>
                <w:szCs w:val="20"/>
              </w:rPr>
            </w:pPr>
            <w:r w:rsidRPr="00C67B17">
              <w:rPr>
                <w:b/>
                <w:bCs/>
                <w:sz w:val="20"/>
                <w:szCs w:val="20"/>
              </w:rPr>
              <w:t xml:space="preserve">Internal </w:t>
            </w:r>
            <w:r w:rsidR="00491C89">
              <w:rPr>
                <w:b/>
                <w:bCs/>
                <w:sz w:val="20"/>
                <w:szCs w:val="20"/>
              </w:rPr>
              <w:t>t</w:t>
            </w:r>
            <w:r w:rsidRPr="00C67B17">
              <w:rPr>
                <w:b/>
                <w:bCs/>
                <w:sz w:val="20"/>
                <w:szCs w:val="20"/>
              </w:rPr>
              <w:t xml:space="preserve">ransport, </w:t>
            </w:r>
            <w:r w:rsidR="00491C89">
              <w:rPr>
                <w:b/>
                <w:bCs/>
                <w:sz w:val="20"/>
                <w:szCs w:val="20"/>
              </w:rPr>
              <w:t>s</w:t>
            </w:r>
            <w:r w:rsidRPr="00C67B17">
              <w:rPr>
                <w:b/>
                <w:bCs/>
                <w:sz w:val="20"/>
                <w:szCs w:val="20"/>
              </w:rPr>
              <w:t xml:space="preserve">torage and </w:t>
            </w:r>
            <w:r w:rsidR="00491C89">
              <w:rPr>
                <w:b/>
                <w:bCs/>
                <w:sz w:val="20"/>
                <w:szCs w:val="20"/>
              </w:rPr>
              <w:t>h</w:t>
            </w:r>
            <w:r w:rsidRPr="00C67B17">
              <w:rPr>
                <w:b/>
                <w:bCs/>
                <w:sz w:val="20"/>
                <w:szCs w:val="20"/>
              </w:rPr>
              <w:t xml:space="preserve">andling (ITSH) </w:t>
            </w:r>
            <w:r w:rsidR="00491C89">
              <w:rPr>
                <w:b/>
                <w:bCs/>
                <w:sz w:val="20"/>
                <w:szCs w:val="20"/>
              </w:rPr>
              <w:t>f</w:t>
            </w:r>
            <w:r w:rsidRPr="00C67B17">
              <w:rPr>
                <w:b/>
                <w:bCs/>
                <w:sz w:val="20"/>
                <w:szCs w:val="20"/>
              </w:rPr>
              <w:t>unding</w:t>
            </w:r>
          </w:p>
        </w:tc>
        <w:tc>
          <w:tcPr>
            <w:tcW w:w="7353" w:type="dxa"/>
            <w:tcBorders>
              <w:bottom w:val="single" w:sz="4" w:space="0" w:color="auto"/>
            </w:tcBorders>
          </w:tcPr>
          <w:p w:rsidR="008B17E9" w:rsidRPr="00C67B17" w:rsidRDefault="008B17E9" w:rsidP="008B17E9">
            <w:pPr>
              <w:spacing w:before="60" w:after="60"/>
              <w:rPr>
                <w:sz w:val="20"/>
                <w:szCs w:val="20"/>
              </w:rPr>
            </w:pPr>
            <w:r w:rsidRPr="00C67B17">
              <w:rPr>
                <w:sz w:val="20"/>
                <w:szCs w:val="20"/>
              </w:rPr>
              <w:t>U.S. dollar funding through FFP to cover commodity</w:t>
            </w:r>
            <w:r w:rsidR="00491C89">
              <w:rPr>
                <w:sz w:val="20"/>
                <w:szCs w:val="20"/>
              </w:rPr>
              <w:t>-</w:t>
            </w:r>
            <w:r w:rsidRPr="00C67B17">
              <w:rPr>
                <w:sz w:val="20"/>
                <w:szCs w:val="20"/>
              </w:rPr>
              <w:t xml:space="preserve">related expenses in country of operation. In general, ITSH is used to cover costs directly associated with: </w:t>
            </w:r>
          </w:p>
          <w:p w:rsidR="008B17E9" w:rsidRPr="00C67B17" w:rsidRDefault="008B17E9" w:rsidP="008B17E9">
            <w:pPr>
              <w:pStyle w:val="ListParagraph"/>
              <w:numPr>
                <w:ilvl w:val="0"/>
                <w:numId w:val="7"/>
              </w:numPr>
              <w:spacing w:before="60" w:after="60"/>
              <w:ind w:left="360"/>
              <w:contextualSpacing w:val="0"/>
              <w:rPr>
                <w:sz w:val="20"/>
                <w:szCs w:val="20"/>
              </w:rPr>
            </w:pPr>
            <w:r w:rsidRPr="00C67B17">
              <w:rPr>
                <w:sz w:val="20"/>
                <w:szCs w:val="20"/>
              </w:rPr>
              <w:t>Moving Title II food commodities from designated ports or points of entry abroad to</w:t>
            </w:r>
            <w:r w:rsidR="00491C89">
              <w:rPr>
                <w:sz w:val="20"/>
                <w:szCs w:val="20"/>
              </w:rPr>
              <w:t xml:space="preserve"> storage and distribution sites</w:t>
            </w:r>
          </w:p>
          <w:p w:rsidR="008B17E9" w:rsidRPr="00C67B17" w:rsidRDefault="00491C89" w:rsidP="008B17E9">
            <w:pPr>
              <w:pStyle w:val="ListParagraph"/>
              <w:numPr>
                <w:ilvl w:val="0"/>
                <w:numId w:val="7"/>
              </w:numPr>
              <w:spacing w:before="60" w:after="60" w:line="252" w:lineRule="auto"/>
              <w:ind w:left="360"/>
              <w:contextualSpacing w:val="0"/>
              <w:rPr>
                <w:sz w:val="20"/>
                <w:szCs w:val="20"/>
              </w:rPr>
            </w:pPr>
            <w:r>
              <w:rPr>
                <w:sz w:val="20"/>
                <w:szCs w:val="20"/>
              </w:rPr>
              <w:t>Storing food aid commodities</w:t>
            </w:r>
          </w:p>
          <w:p w:rsidR="008B17E9" w:rsidRPr="00C67B17" w:rsidRDefault="008B17E9" w:rsidP="008B17E9">
            <w:pPr>
              <w:pStyle w:val="ListParagraph"/>
              <w:numPr>
                <w:ilvl w:val="0"/>
                <w:numId w:val="7"/>
              </w:numPr>
              <w:spacing w:before="60" w:after="60" w:line="252" w:lineRule="auto"/>
              <w:ind w:left="360"/>
              <w:contextualSpacing w:val="0"/>
              <w:rPr>
                <w:b/>
                <w:sz w:val="20"/>
                <w:szCs w:val="20"/>
                <w:u w:val="single"/>
              </w:rPr>
            </w:pPr>
            <w:r w:rsidRPr="00C67B17">
              <w:rPr>
                <w:sz w:val="20"/>
                <w:szCs w:val="20"/>
              </w:rPr>
              <w:t>Di</w:t>
            </w:r>
            <w:r w:rsidR="00491C89">
              <w:rPr>
                <w:sz w:val="20"/>
                <w:szCs w:val="20"/>
              </w:rPr>
              <w:t>stributing food aid commodities</w:t>
            </w:r>
          </w:p>
          <w:p w:rsidR="008B17E9" w:rsidRPr="00C67B17" w:rsidRDefault="008B17E9" w:rsidP="00491C89">
            <w:pPr>
              <w:spacing w:before="60" w:after="60" w:line="252" w:lineRule="auto"/>
              <w:rPr>
                <w:b/>
                <w:sz w:val="20"/>
                <w:szCs w:val="20"/>
                <w:u w:val="single"/>
              </w:rPr>
            </w:pPr>
            <w:r w:rsidRPr="00C67B17">
              <w:rPr>
                <w:sz w:val="20"/>
                <w:szCs w:val="20"/>
              </w:rPr>
              <w:t>All Title II emergency programs are eligible for ITSH funding</w:t>
            </w:r>
            <w:r w:rsidR="00491C89">
              <w:rPr>
                <w:sz w:val="20"/>
                <w:szCs w:val="20"/>
              </w:rPr>
              <w:t>. H</w:t>
            </w:r>
            <w:r w:rsidRPr="00C67B17">
              <w:rPr>
                <w:sz w:val="20"/>
                <w:szCs w:val="20"/>
              </w:rPr>
              <w:t>owever, development programs only qualify for ITSH funding if they operate in LDCs, as described by the World Bank’s list of the International Development Association’s</w:t>
            </w:r>
            <w:r w:rsidR="00491C89">
              <w:rPr>
                <w:sz w:val="20"/>
                <w:szCs w:val="20"/>
              </w:rPr>
              <w:t xml:space="preserve"> </w:t>
            </w:r>
            <w:r w:rsidRPr="00C67B17">
              <w:rPr>
                <w:sz w:val="20"/>
                <w:szCs w:val="20"/>
              </w:rPr>
              <w:t>eligible borrowers. FFP does not support the applicati</w:t>
            </w:r>
            <w:r>
              <w:rPr>
                <w:sz w:val="20"/>
                <w:szCs w:val="20"/>
              </w:rPr>
              <w:t xml:space="preserve">on of NICRA rates against ITSH </w:t>
            </w:r>
            <w:r w:rsidRPr="00C67B17">
              <w:rPr>
                <w:sz w:val="20"/>
                <w:szCs w:val="20"/>
              </w:rPr>
              <w:t>costs. Specific eligible uses for ITSH funding are detailed in FFPIB 14-01, or any subsequent revisions or released FFPIBs.</w:t>
            </w:r>
          </w:p>
        </w:tc>
      </w:tr>
      <w:tr w:rsidR="008B17E9" w:rsidRPr="008F550F" w:rsidTr="00A37972">
        <w:tc>
          <w:tcPr>
            <w:tcW w:w="1890" w:type="dxa"/>
            <w:tcBorders>
              <w:bottom w:val="single" w:sz="4" w:space="0" w:color="auto"/>
            </w:tcBorders>
          </w:tcPr>
          <w:p w:rsidR="008B17E9" w:rsidRPr="00C67B17" w:rsidRDefault="008B17E9" w:rsidP="00B620A5">
            <w:pPr>
              <w:spacing w:before="60" w:after="60" w:line="252" w:lineRule="auto"/>
              <w:rPr>
                <w:b/>
                <w:sz w:val="20"/>
                <w:szCs w:val="20"/>
                <w:highlight w:val="yellow"/>
              </w:rPr>
            </w:pPr>
            <w:r w:rsidRPr="00C67B17">
              <w:rPr>
                <w:b/>
                <w:bCs/>
                <w:sz w:val="20"/>
                <w:szCs w:val="20"/>
              </w:rPr>
              <w:t xml:space="preserve">Letter of </w:t>
            </w:r>
            <w:r w:rsidR="00B620A5">
              <w:rPr>
                <w:b/>
                <w:bCs/>
                <w:sz w:val="20"/>
                <w:szCs w:val="20"/>
              </w:rPr>
              <w:t>c</w:t>
            </w:r>
            <w:r w:rsidRPr="00C67B17">
              <w:rPr>
                <w:b/>
                <w:bCs/>
                <w:sz w:val="20"/>
                <w:szCs w:val="20"/>
              </w:rPr>
              <w:t>redit (LOC)</w:t>
            </w:r>
          </w:p>
        </w:tc>
        <w:tc>
          <w:tcPr>
            <w:tcW w:w="7353" w:type="dxa"/>
            <w:tcBorders>
              <w:bottom w:val="single" w:sz="4" w:space="0" w:color="auto"/>
            </w:tcBorders>
          </w:tcPr>
          <w:p w:rsidR="008B17E9" w:rsidRPr="00C67B17" w:rsidRDefault="008B17E9" w:rsidP="00B620A5">
            <w:pPr>
              <w:spacing w:before="60" w:after="60" w:line="252" w:lineRule="auto"/>
              <w:rPr>
                <w:sz w:val="20"/>
                <w:szCs w:val="20"/>
                <w:highlight w:val="yellow"/>
              </w:rPr>
            </w:pPr>
            <w:r w:rsidRPr="00C67B17">
              <w:rPr>
                <w:sz w:val="20"/>
                <w:szCs w:val="20"/>
              </w:rPr>
              <w:t>An LOC is a financing mechanism for development food assistance programs whereby FFP advances funds for ITSH costs and Section 202(e) grants to an Awardee’s U.S. bank account. The Awardee then draws funds from its LOC account and reports expenditures against these advances to FFP on a quarterly basis.</w:t>
            </w:r>
          </w:p>
        </w:tc>
      </w:tr>
      <w:tr w:rsidR="008B17E9" w:rsidRPr="008F550F" w:rsidTr="00A37972">
        <w:tc>
          <w:tcPr>
            <w:tcW w:w="1890" w:type="dxa"/>
            <w:tcBorders>
              <w:top w:val="single" w:sz="4" w:space="0" w:color="auto"/>
            </w:tcBorders>
          </w:tcPr>
          <w:p w:rsidR="008B17E9" w:rsidRPr="00C67B17" w:rsidRDefault="008B17E9" w:rsidP="008B17E9">
            <w:pPr>
              <w:spacing w:before="60" w:after="60" w:line="252" w:lineRule="auto"/>
              <w:rPr>
                <w:b/>
                <w:sz w:val="20"/>
                <w:szCs w:val="20"/>
              </w:rPr>
            </w:pPr>
            <w:r w:rsidRPr="00C67B17">
              <w:rPr>
                <w:b/>
                <w:sz w:val="20"/>
                <w:szCs w:val="20"/>
              </w:rPr>
              <w:t>Lighterage</w:t>
            </w:r>
          </w:p>
        </w:tc>
        <w:tc>
          <w:tcPr>
            <w:tcW w:w="7353" w:type="dxa"/>
            <w:tcBorders>
              <w:top w:val="single" w:sz="4" w:space="0" w:color="auto"/>
            </w:tcBorders>
          </w:tcPr>
          <w:p w:rsidR="008B17E9" w:rsidRPr="00C67B17" w:rsidRDefault="008B17E9" w:rsidP="00B620A5">
            <w:pPr>
              <w:spacing w:before="60" w:after="60" w:line="252" w:lineRule="auto"/>
              <w:rPr>
                <w:sz w:val="20"/>
                <w:szCs w:val="20"/>
              </w:rPr>
            </w:pPr>
            <w:r w:rsidRPr="00C67B17">
              <w:rPr>
                <w:sz w:val="20"/>
                <w:szCs w:val="20"/>
              </w:rPr>
              <w:t xml:space="preserve">A method of discharging cargoes from a heavy vessel </w:t>
            </w:r>
            <w:r>
              <w:rPr>
                <w:sz w:val="20"/>
                <w:szCs w:val="20"/>
              </w:rPr>
              <w:t>that</w:t>
            </w:r>
            <w:r w:rsidRPr="00C67B17">
              <w:rPr>
                <w:sz w:val="20"/>
                <w:szCs w:val="20"/>
              </w:rPr>
              <w:t xml:space="preserve"> cannot (because of shallow draft port conditions) or does not come into the port area and discharge cargoes on to the dock area. When cargoes are lightered ashore, the mother vessel discharges cargo into a smaller vessel (</w:t>
            </w:r>
            <w:r w:rsidR="00B620A5">
              <w:rPr>
                <w:sz w:val="20"/>
                <w:szCs w:val="20"/>
              </w:rPr>
              <w:t xml:space="preserve">the </w:t>
            </w:r>
            <w:r w:rsidRPr="00C67B17">
              <w:rPr>
                <w:sz w:val="20"/>
                <w:szCs w:val="20"/>
              </w:rPr>
              <w:t>lighter)</w:t>
            </w:r>
            <w:r w:rsidR="00B620A5">
              <w:rPr>
                <w:sz w:val="20"/>
                <w:szCs w:val="20"/>
              </w:rPr>
              <w:t>,</w:t>
            </w:r>
            <w:r w:rsidRPr="00C67B17">
              <w:rPr>
                <w:sz w:val="20"/>
                <w:szCs w:val="20"/>
              </w:rPr>
              <w:t xml:space="preserve"> and the lighter carries the cargo ashore and places the cargo on the docks. </w:t>
            </w:r>
            <w:r w:rsidR="00B620A5">
              <w:rPr>
                <w:sz w:val="20"/>
                <w:szCs w:val="20"/>
              </w:rPr>
              <w:t>T</w:t>
            </w:r>
            <w:r w:rsidRPr="00C67B17">
              <w:rPr>
                <w:sz w:val="20"/>
                <w:szCs w:val="20"/>
              </w:rPr>
              <w:t>he discharge of cargoes via lighters should be avoided, if possible</w:t>
            </w:r>
            <w:r w:rsidR="00B620A5">
              <w:rPr>
                <w:sz w:val="20"/>
                <w:szCs w:val="20"/>
              </w:rPr>
              <w:t>,</w:t>
            </w:r>
            <w:r w:rsidRPr="00C67B17">
              <w:rPr>
                <w:sz w:val="20"/>
                <w:szCs w:val="20"/>
              </w:rPr>
              <w:t xml:space="preserve"> because individual bags of cargo are handled </w:t>
            </w:r>
            <w:r w:rsidR="00B620A5">
              <w:rPr>
                <w:sz w:val="20"/>
                <w:szCs w:val="20"/>
              </w:rPr>
              <w:t>a</w:t>
            </w:r>
            <w:r w:rsidRPr="00C67B17">
              <w:rPr>
                <w:sz w:val="20"/>
                <w:szCs w:val="20"/>
              </w:rPr>
              <w:t>n additional time</w:t>
            </w:r>
            <w:r w:rsidR="00B620A5">
              <w:rPr>
                <w:sz w:val="20"/>
                <w:szCs w:val="20"/>
              </w:rPr>
              <w:t xml:space="preserve">, </w:t>
            </w:r>
            <w:r w:rsidRPr="00C67B17">
              <w:rPr>
                <w:sz w:val="20"/>
                <w:szCs w:val="20"/>
              </w:rPr>
              <w:t>increasing the possibility of damage</w:t>
            </w:r>
            <w:r w:rsidR="00B620A5">
              <w:rPr>
                <w:sz w:val="20"/>
                <w:szCs w:val="20"/>
              </w:rPr>
              <w:t xml:space="preserve">. Additionally, </w:t>
            </w:r>
            <w:r w:rsidRPr="00C67B17">
              <w:rPr>
                <w:sz w:val="20"/>
                <w:szCs w:val="20"/>
              </w:rPr>
              <w:t>lighters often do not provide adequate security from the elements or from pilferage.</w:t>
            </w:r>
          </w:p>
        </w:tc>
      </w:tr>
      <w:tr w:rsidR="008B17E9" w:rsidRPr="008F550F" w:rsidTr="00A37972">
        <w:tc>
          <w:tcPr>
            <w:tcW w:w="1890" w:type="dxa"/>
            <w:tcBorders>
              <w:top w:val="single" w:sz="4" w:space="0" w:color="auto"/>
            </w:tcBorders>
          </w:tcPr>
          <w:p w:rsidR="008B17E9" w:rsidRPr="00C67B17" w:rsidRDefault="008B17E9" w:rsidP="008B17E9">
            <w:pPr>
              <w:spacing w:before="60" w:after="60" w:line="252" w:lineRule="auto"/>
              <w:rPr>
                <w:b/>
                <w:sz w:val="20"/>
                <w:szCs w:val="20"/>
              </w:rPr>
            </w:pPr>
            <w:r w:rsidRPr="00C67B17">
              <w:rPr>
                <w:b/>
                <w:sz w:val="20"/>
                <w:szCs w:val="20"/>
              </w:rPr>
              <w:t>Loan</w:t>
            </w:r>
          </w:p>
        </w:tc>
        <w:tc>
          <w:tcPr>
            <w:tcW w:w="7353" w:type="dxa"/>
            <w:tcBorders>
              <w:top w:val="single" w:sz="4" w:space="0" w:color="auto"/>
            </w:tcBorders>
          </w:tcPr>
          <w:p w:rsidR="008B17E9" w:rsidRPr="00C67B17" w:rsidRDefault="008B17E9" w:rsidP="00B620A5">
            <w:pPr>
              <w:spacing w:before="60" w:after="60" w:line="252" w:lineRule="auto"/>
              <w:rPr>
                <w:sz w:val="20"/>
                <w:szCs w:val="20"/>
              </w:rPr>
            </w:pPr>
            <w:r w:rsidRPr="00C67B17">
              <w:rPr>
                <w:sz w:val="20"/>
                <w:szCs w:val="20"/>
              </w:rPr>
              <w:t>The same type of commodity necessary for on</w:t>
            </w:r>
            <w:r>
              <w:rPr>
                <w:sz w:val="20"/>
                <w:szCs w:val="20"/>
              </w:rPr>
              <w:t>e U</w:t>
            </w:r>
            <w:r w:rsidR="00B620A5">
              <w:rPr>
                <w:sz w:val="20"/>
                <w:szCs w:val="20"/>
              </w:rPr>
              <w:t>.</w:t>
            </w:r>
            <w:r>
              <w:rPr>
                <w:sz w:val="20"/>
                <w:szCs w:val="20"/>
              </w:rPr>
              <w:t>S</w:t>
            </w:r>
            <w:r w:rsidR="00B620A5">
              <w:rPr>
                <w:sz w:val="20"/>
                <w:szCs w:val="20"/>
              </w:rPr>
              <w:t>.</w:t>
            </w:r>
            <w:r>
              <w:rPr>
                <w:sz w:val="20"/>
                <w:szCs w:val="20"/>
              </w:rPr>
              <w:t xml:space="preserve"> food assistance program is b</w:t>
            </w:r>
            <w:r w:rsidRPr="00C67B17">
              <w:rPr>
                <w:sz w:val="20"/>
                <w:szCs w:val="20"/>
              </w:rPr>
              <w:t>orrowed from another U</w:t>
            </w:r>
            <w:r w:rsidR="00B620A5">
              <w:rPr>
                <w:sz w:val="20"/>
                <w:szCs w:val="20"/>
              </w:rPr>
              <w:t>.</w:t>
            </w:r>
            <w:r w:rsidRPr="00C67B17">
              <w:rPr>
                <w:sz w:val="20"/>
                <w:szCs w:val="20"/>
              </w:rPr>
              <w:t>S</w:t>
            </w:r>
            <w:r w:rsidR="00B620A5">
              <w:rPr>
                <w:sz w:val="20"/>
                <w:szCs w:val="20"/>
              </w:rPr>
              <w:t>.</w:t>
            </w:r>
            <w:r w:rsidRPr="00C67B17">
              <w:rPr>
                <w:sz w:val="20"/>
                <w:szCs w:val="20"/>
              </w:rPr>
              <w:t xml:space="preserve"> food assistance program, or the host government's strategic reserves. All loans must be repaid at a later date.</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Loss</w:t>
            </w:r>
          </w:p>
        </w:tc>
        <w:tc>
          <w:tcPr>
            <w:tcW w:w="7353" w:type="dxa"/>
          </w:tcPr>
          <w:p w:rsidR="008B17E9" w:rsidRPr="00C67B17" w:rsidRDefault="008B17E9" w:rsidP="00B620A5">
            <w:pPr>
              <w:spacing w:before="60" w:after="60" w:line="252" w:lineRule="auto"/>
              <w:rPr>
                <w:sz w:val="20"/>
                <w:szCs w:val="20"/>
              </w:rPr>
            </w:pPr>
            <w:r w:rsidRPr="00C67B17">
              <w:rPr>
                <w:sz w:val="20"/>
                <w:szCs w:val="20"/>
              </w:rPr>
              <w:t xml:space="preserve">A </w:t>
            </w:r>
            <w:r w:rsidRPr="00C67B17">
              <w:rPr>
                <w:bCs/>
                <w:sz w:val="20"/>
                <w:szCs w:val="20"/>
              </w:rPr>
              <w:t xml:space="preserve">loss </w:t>
            </w:r>
            <w:r w:rsidRPr="00C67B17">
              <w:rPr>
                <w:sz w:val="20"/>
                <w:szCs w:val="20"/>
              </w:rPr>
              <w:t xml:space="preserve">is a decrease in quantity of commodities. It is often defined as an incident in which commodities are discovered to be missing. Loss is the difference between the amount on the document (such as </w:t>
            </w:r>
            <w:r w:rsidR="00B620A5">
              <w:rPr>
                <w:sz w:val="20"/>
                <w:szCs w:val="20"/>
              </w:rPr>
              <w:t xml:space="preserve">a </w:t>
            </w:r>
            <w:r w:rsidRPr="00C67B17">
              <w:rPr>
                <w:sz w:val="20"/>
                <w:szCs w:val="20"/>
              </w:rPr>
              <w:t>waybill or stock ledger) and the physical quantity. Losses are often the result of shortlanding, spillage from torn bags of grain, leakage from cans of oil</w:t>
            </w:r>
            <w:r w:rsidR="00B620A5">
              <w:rPr>
                <w:sz w:val="20"/>
                <w:szCs w:val="20"/>
              </w:rPr>
              <w:t>,</w:t>
            </w:r>
            <w:r w:rsidRPr="00C67B17">
              <w:rPr>
                <w:sz w:val="20"/>
                <w:szCs w:val="20"/>
              </w:rPr>
              <w:t xml:space="preserve"> or theft. A loss in documented quantity may also result from inaccurate tallying or recordkeeping</w:t>
            </w:r>
            <w:r w:rsidR="00B620A5">
              <w:rPr>
                <w:sz w:val="20"/>
                <w:szCs w:val="20"/>
              </w:rPr>
              <w:t>,</w:t>
            </w:r>
            <w:r w:rsidRPr="00C67B17">
              <w:rPr>
                <w:sz w:val="20"/>
                <w:szCs w:val="20"/>
              </w:rPr>
              <w:t xml:space="preserve"> or from weighing commodity on scales that </w:t>
            </w:r>
            <w:r>
              <w:rPr>
                <w:sz w:val="20"/>
                <w:szCs w:val="20"/>
              </w:rPr>
              <w:t xml:space="preserve">are </w:t>
            </w:r>
            <w:r w:rsidRPr="00C67B17">
              <w:rPr>
                <w:sz w:val="20"/>
                <w:szCs w:val="20"/>
              </w:rPr>
              <w:t>not calibrated. Some examples of losses are marine loss, port loss, transit loss, warehouse loss or distribution center loss.</w:t>
            </w:r>
          </w:p>
        </w:tc>
      </w:tr>
      <w:tr w:rsidR="008B17E9" w:rsidRPr="008F550F" w:rsidTr="00370662">
        <w:tc>
          <w:tcPr>
            <w:tcW w:w="1890" w:type="dxa"/>
          </w:tcPr>
          <w:p w:rsidR="008B17E9" w:rsidRPr="00C67B17" w:rsidRDefault="008B17E9" w:rsidP="00B620A5">
            <w:pPr>
              <w:spacing w:before="60" w:after="60" w:line="252" w:lineRule="auto"/>
              <w:rPr>
                <w:b/>
                <w:sz w:val="20"/>
                <w:szCs w:val="20"/>
              </w:rPr>
            </w:pPr>
            <w:r w:rsidRPr="00C67B17">
              <w:rPr>
                <w:b/>
                <w:sz w:val="20"/>
                <w:szCs w:val="20"/>
              </w:rPr>
              <w:t xml:space="preserve">Loss </w:t>
            </w:r>
            <w:r w:rsidR="00B620A5">
              <w:rPr>
                <w:b/>
                <w:sz w:val="20"/>
                <w:szCs w:val="20"/>
              </w:rPr>
              <w:t>s</w:t>
            </w:r>
            <w:r w:rsidRPr="00C67B17">
              <w:rPr>
                <w:b/>
                <w:sz w:val="20"/>
                <w:szCs w:val="20"/>
              </w:rPr>
              <w:t xml:space="preserve">ummary </w:t>
            </w:r>
            <w:r w:rsidR="00B620A5">
              <w:rPr>
                <w:b/>
                <w:sz w:val="20"/>
                <w:szCs w:val="20"/>
              </w:rPr>
              <w:t>r</w:t>
            </w:r>
            <w:r w:rsidRPr="00C67B17">
              <w:rPr>
                <w:b/>
                <w:sz w:val="20"/>
                <w:szCs w:val="20"/>
              </w:rPr>
              <w:t>eport</w:t>
            </w:r>
          </w:p>
        </w:tc>
        <w:tc>
          <w:tcPr>
            <w:tcW w:w="7353" w:type="dxa"/>
          </w:tcPr>
          <w:p w:rsidR="008B17E9" w:rsidRPr="00C67B17" w:rsidRDefault="008B17E9" w:rsidP="00B620A5">
            <w:pPr>
              <w:spacing w:before="60" w:after="60" w:line="252" w:lineRule="auto"/>
              <w:rPr>
                <w:sz w:val="20"/>
                <w:szCs w:val="20"/>
              </w:rPr>
            </w:pPr>
            <w:r w:rsidRPr="00C67B17">
              <w:rPr>
                <w:sz w:val="20"/>
                <w:szCs w:val="20"/>
              </w:rPr>
              <w:t xml:space="preserve">A record of missing or damaged commodities, submitted on a quarterly basis for all losses occurring during the quarter. The report captures the type of commodity affected, where the loss occurred, the reason for the loss, and the quantity and dollar value of the commodity loss. </w:t>
            </w:r>
          </w:p>
        </w:tc>
      </w:tr>
      <w:tr w:rsidR="008B17E9" w:rsidRPr="008F550F" w:rsidTr="00717FBF">
        <w:tc>
          <w:tcPr>
            <w:tcW w:w="1890" w:type="dxa"/>
            <w:shd w:val="clear" w:color="auto" w:fill="auto"/>
          </w:tcPr>
          <w:p w:rsidR="008B17E9" w:rsidRPr="00C67B17" w:rsidRDefault="008B17E9" w:rsidP="008B17E9">
            <w:pPr>
              <w:spacing w:before="60" w:after="60" w:line="252" w:lineRule="auto"/>
              <w:rPr>
                <w:b/>
                <w:sz w:val="20"/>
                <w:szCs w:val="20"/>
              </w:rPr>
            </w:pPr>
            <w:r w:rsidRPr="00C67B17">
              <w:rPr>
                <w:b/>
                <w:bCs/>
                <w:sz w:val="20"/>
                <w:szCs w:val="20"/>
              </w:rPr>
              <w:t>Marking</w:t>
            </w:r>
          </w:p>
        </w:tc>
        <w:tc>
          <w:tcPr>
            <w:tcW w:w="7353" w:type="dxa"/>
          </w:tcPr>
          <w:p w:rsidR="008B17E9" w:rsidRPr="00C67B17" w:rsidRDefault="008B17E9" w:rsidP="00B620A5">
            <w:pPr>
              <w:spacing w:before="60" w:after="60" w:line="252" w:lineRule="auto"/>
              <w:rPr>
                <w:sz w:val="20"/>
                <w:szCs w:val="20"/>
              </w:rPr>
            </w:pPr>
            <w:r w:rsidRPr="00C67B17">
              <w:rPr>
                <w:sz w:val="20"/>
                <w:szCs w:val="20"/>
              </w:rPr>
              <w:t>Applying graphic identities or logos to program materials or project signage to visibly acknowledge contributors</w:t>
            </w:r>
            <w:r w:rsidR="00B620A5">
              <w:rPr>
                <w:sz w:val="20"/>
                <w:szCs w:val="20"/>
              </w:rPr>
              <w:t xml:space="preserve">. Marking </w:t>
            </w:r>
            <w:r w:rsidRPr="00C67B17">
              <w:rPr>
                <w:sz w:val="20"/>
                <w:szCs w:val="20"/>
              </w:rPr>
              <w:t xml:space="preserve">identifies </w:t>
            </w:r>
            <w:r w:rsidR="00B620A5">
              <w:rPr>
                <w:sz w:val="20"/>
                <w:szCs w:val="20"/>
              </w:rPr>
              <w:t xml:space="preserve">the </w:t>
            </w:r>
            <w:r w:rsidRPr="00C67B17">
              <w:rPr>
                <w:sz w:val="20"/>
                <w:szCs w:val="20"/>
              </w:rPr>
              <w:t>organizations supporting the work.</w:t>
            </w:r>
          </w:p>
        </w:tc>
      </w:tr>
      <w:tr w:rsidR="008B17E9" w:rsidRPr="008F550F" w:rsidTr="00717FBF">
        <w:tc>
          <w:tcPr>
            <w:tcW w:w="1890" w:type="dxa"/>
            <w:shd w:val="clear" w:color="auto" w:fill="auto"/>
          </w:tcPr>
          <w:p w:rsidR="008B17E9" w:rsidRPr="00C67B17" w:rsidRDefault="008B17E9" w:rsidP="00B620A5">
            <w:pPr>
              <w:spacing w:before="60" w:after="60" w:line="252" w:lineRule="auto"/>
              <w:rPr>
                <w:b/>
                <w:sz w:val="20"/>
                <w:szCs w:val="20"/>
              </w:rPr>
            </w:pPr>
            <w:r w:rsidRPr="00C67B17">
              <w:rPr>
                <w:b/>
                <w:sz w:val="20"/>
                <w:szCs w:val="20"/>
              </w:rPr>
              <w:lastRenderedPageBreak/>
              <w:t xml:space="preserve">Master </w:t>
            </w:r>
            <w:r w:rsidR="00B620A5">
              <w:rPr>
                <w:b/>
                <w:sz w:val="20"/>
                <w:szCs w:val="20"/>
              </w:rPr>
              <w:t>r</w:t>
            </w:r>
            <w:r w:rsidRPr="00C67B17">
              <w:rPr>
                <w:b/>
                <w:sz w:val="20"/>
                <w:szCs w:val="20"/>
              </w:rPr>
              <w:t xml:space="preserve">ecipient </w:t>
            </w:r>
            <w:r w:rsidR="00B620A5">
              <w:rPr>
                <w:b/>
                <w:sz w:val="20"/>
                <w:szCs w:val="20"/>
              </w:rPr>
              <w:t>l</w:t>
            </w:r>
            <w:r w:rsidRPr="00C67B17">
              <w:rPr>
                <w:b/>
                <w:sz w:val="20"/>
                <w:szCs w:val="20"/>
              </w:rPr>
              <w:t>ist</w:t>
            </w:r>
          </w:p>
        </w:tc>
        <w:tc>
          <w:tcPr>
            <w:tcW w:w="7353" w:type="dxa"/>
          </w:tcPr>
          <w:p w:rsidR="008B17E9" w:rsidRPr="00C67B17" w:rsidRDefault="008B17E9" w:rsidP="00F53221">
            <w:pPr>
              <w:spacing w:before="60" w:after="60" w:line="252" w:lineRule="auto"/>
              <w:rPr>
                <w:sz w:val="20"/>
                <w:szCs w:val="20"/>
              </w:rPr>
            </w:pPr>
            <w:r w:rsidRPr="00C67B17">
              <w:rPr>
                <w:sz w:val="20"/>
                <w:szCs w:val="20"/>
              </w:rPr>
              <w:t>A</w:t>
            </w:r>
            <w:r w:rsidR="00F53221">
              <w:rPr>
                <w:sz w:val="20"/>
                <w:szCs w:val="20"/>
              </w:rPr>
              <w:t xml:space="preserve"> list</w:t>
            </w:r>
            <w:r w:rsidRPr="00C67B17">
              <w:rPr>
                <w:sz w:val="20"/>
                <w:szCs w:val="20"/>
              </w:rPr>
              <w:t xml:space="preserve"> (preferably computerized and password protected) of </w:t>
            </w:r>
            <w:r w:rsidR="00F53221">
              <w:rPr>
                <w:sz w:val="20"/>
                <w:szCs w:val="20"/>
              </w:rPr>
              <w:t>each</w:t>
            </w:r>
            <w:r w:rsidRPr="00C67B17">
              <w:rPr>
                <w:sz w:val="20"/>
                <w:szCs w:val="20"/>
              </w:rPr>
              <w:t xml:space="preserve"> registered recipient</w:t>
            </w:r>
            <w:r w:rsidR="00F53221">
              <w:rPr>
                <w:sz w:val="20"/>
                <w:szCs w:val="20"/>
              </w:rPr>
              <w:t>’</w:t>
            </w:r>
            <w:r w:rsidRPr="00C67B17">
              <w:rPr>
                <w:sz w:val="20"/>
                <w:szCs w:val="20"/>
              </w:rPr>
              <w:t>s name, eligibility criterion, eligibility verifi</w:t>
            </w:r>
            <w:r w:rsidR="00F53221">
              <w:rPr>
                <w:sz w:val="20"/>
                <w:szCs w:val="20"/>
              </w:rPr>
              <w:t>cation information</w:t>
            </w:r>
            <w:r w:rsidRPr="00C67B17">
              <w:rPr>
                <w:sz w:val="20"/>
                <w:szCs w:val="20"/>
              </w:rPr>
              <w:t>, identification/ration card number</w:t>
            </w:r>
            <w:r w:rsidR="00F53221">
              <w:rPr>
                <w:sz w:val="20"/>
                <w:szCs w:val="20"/>
              </w:rPr>
              <w:t>,</w:t>
            </w:r>
            <w:r w:rsidRPr="00C67B17">
              <w:rPr>
                <w:sz w:val="20"/>
                <w:szCs w:val="20"/>
              </w:rPr>
              <w:t xml:space="preserve"> and all additional demographic information collected during registration that is essential for evaluating eligibility for a specific program. The master recipient list is used to create distribution lists at a given location prior to each distribution.</w:t>
            </w:r>
          </w:p>
        </w:tc>
      </w:tr>
      <w:tr w:rsidR="008B17E9" w:rsidRPr="008F550F" w:rsidTr="00370662">
        <w:tc>
          <w:tcPr>
            <w:tcW w:w="1890" w:type="dxa"/>
          </w:tcPr>
          <w:p w:rsidR="008B17E9" w:rsidRPr="00C67B17" w:rsidRDefault="008B17E9" w:rsidP="008B17E9">
            <w:pPr>
              <w:spacing w:before="60" w:after="60" w:line="252" w:lineRule="auto"/>
              <w:rPr>
                <w:b/>
                <w:sz w:val="20"/>
                <w:szCs w:val="20"/>
                <w:highlight w:val="yellow"/>
              </w:rPr>
            </w:pPr>
            <w:r w:rsidRPr="00C67B17">
              <w:rPr>
                <w:b/>
                <w:sz w:val="20"/>
                <w:szCs w:val="20"/>
              </w:rPr>
              <w:t>Metric ton(s) (MT)</w:t>
            </w:r>
          </w:p>
        </w:tc>
        <w:tc>
          <w:tcPr>
            <w:tcW w:w="7353" w:type="dxa"/>
          </w:tcPr>
          <w:p w:rsidR="008B17E9" w:rsidRPr="00C67B17" w:rsidRDefault="008B17E9" w:rsidP="00F53221">
            <w:pPr>
              <w:spacing w:before="60" w:after="60" w:line="252" w:lineRule="auto"/>
              <w:rPr>
                <w:b/>
                <w:bCs/>
                <w:sz w:val="20"/>
                <w:szCs w:val="20"/>
              </w:rPr>
            </w:pPr>
            <w:r w:rsidRPr="00C67B17">
              <w:rPr>
                <w:sz w:val="20"/>
                <w:szCs w:val="20"/>
              </w:rPr>
              <w:t>The standard unit of measurement for Title II commodities. One metric ton equals 1,000 kilograms.</w:t>
            </w:r>
          </w:p>
        </w:tc>
      </w:tr>
      <w:tr w:rsidR="008B17E9" w:rsidRPr="008F550F" w:rsidTr="00370662">
        <w:tc>
          <w:tcPr>
            <w:tcW w:w="1890" w:type="dxa"/>
          </w:tcPr>
          <w:p w:rsidR="008B17E9" w:rsidRPr="00C67B17" w:rsidRDefault="008B17E9" w:rsidP="008B17E9">
            <w:pPr>
              <w:spacing w:before="60" w:after="60" w:line="252" w:lineRule="auto"/>
              <w:rPr>
                <w:b/>
                <w:sz w:val="20"/>
                <w:szCs w:val="20"/>
                <w:highlight w:val="yellow"/>
              </w:rPr>
            </w:pPr>
            <w:r w:rsidRPr="00C67B17">
              <w:rPr>
                <w:b/>
                <w:sz w:val="20"/>
                <w:szCs w:val="20"/>
              </w:rPr>
              <w:t>Misuse</w:t>
            </w:r>
          </w:p>
        </w:tc>
        <w:tc>
          <w:tcPr>
            <w:tcW w:w="7353" w:type="dxa"/>
          </w:tcPr>
          <w:p w:rsidR="008B17E9" w:rsidRPr="00C67B17" w:rsidRDefault="008B17E9" w:rsidP="008B17E9">
            <w:pPr>
              <w:spacing w:before="60" w:after="60" w:line="252" w:lineRule="auto"/>
              <w:rPr>
                <w:sz w:val="20"/>
                <w:szCs w:val="20"/>
              </w:rPr>
            </w:pPr>
            <w:r w:rsidRPr="00C67B17">
              <w:rPr>
                <w:sz w:val="20"/>
                <w:szCs w:val="20"/>
              </w:rPr>
              <w:t>When a specific commodity is used for purposes not permitted under the operational plan.</w:t>
            </w:r>
          </w:p>
        </w:tc>
      </w:tr>
      <w:tr w:rsidR="008B17E9" w:rsidRPr="008F550F" w:rsidTr="00370662">
        <w:tc>
          <w:tcPr>
            <w:tcW w:w="1890" w:type="dxa"/>
          </w:tcPr>
          <w:p w:rsidR="008B17E9" w:rsidRPr="00C67B17" w:rsidRDefault="008B17E9" w:rsidP="005A50F9">
            <w:pPr>
              <w:spacing w:before="60" w:after="60" w:line="252" w:lineRule="auto"/>
              <w:rPr>
                <w:b/>
                <w:sz w:val="20"/>
                <w:szCs w:val="20"/>
              </w:rPr>
            </w:pPr>
            <w:r w:rsidRPr="00C67B17">
              <w:rPr>
                <w:b/>
                <w:sz w:val="20"/>
                <w:szCs w:val="20"/>
              </w:rPr>
              <w:t xml:space="preserve">Operational </w:t>
            </w:r>
            <w:r w:rsidR="005A50F9">
              <w:rPr>
                <w:b/>
                <w:sz w:val="20"/>
                <w:szCs w:val="20"/>
              </w:rPr>
              <w:t>p</w:t>
            </w:r>
            <w:r w:rsidRPr="00C67B17">
              <w:rPr>
                <w:b/>
                <w:sz w:val="20"/>
                <w:szCs w:val="20"/>
              </w:rPr>
              <w:t>lan</w:t>
            </w:r>
          </w:p>
        </w:tc>
        <w:tc>
          <w:tcPr>
            <w:tcW w:w="7353" w:type="dxa"/>
          </w:tcPr>
          <w:p w:rsidR="008B17E9" w:rsidRPr="00C67B17" w:rsidRDefault="008B17E9" w:rsidP="008B17E9">
            <w:pPr>
              <w:spacing w:before="60" w:after="60" w:line="252" w:lineRule="auto"/>
              <w:rPr>
                <w:sz w:val="20"/>
                <w:szCs w:val="20"/>
              </w:rPr>
            </w:pPr>
            <w:r w:rsidRPr="00C67B17">
              <w:rPr>
                <w:sz w:val="20"/>
                <w:szCs w:val="20"/>
              </w:rPr>
              <w:t xml:space="preserve">The plan submitted by the Awardee (or potential Awardee) describing the proposed use of </w:t>
            </w:r>
            <w:r w:rsidR="00F53221">
              <w:rPr>
                <w:sz w:val="20"/>
                <w:szCs w:val="20"/>
              </w:rPr>
              <w:t xml:space="preserve">the </w:t>
            </w:r>
            <w:r w:rsidRPr="00C67B17">
              <w:rPr>
                <w:sz w:val="20"/>
                <w:szCs w:val="20"/>
              </w:rPr>
              <w:t>commo</w:t>
            </w:r>
            <w:r w:rsidR="00F53221">
              <w:rPr>
                <w:sz w:val="20"/>
                <w:szCs w:val="20"/>
              </w:rPr>
              <w:t>dity and/or monetized proceeds</w:t>
            </w:r>
          </w:p>
        </w:tc>
      </w:tr>
      <w:tr w:rsidR="008B17E9" w:rsidRPr="008F550F" w:rsidTr="00370662">
        <w:tc>
          <w:tcPr>
            <w:tcW w:w="1890" w:type="dxa"/>
          </w:tcPr>
          <w:p w:rsidR="008B17E9" w:rsidRPr="00C67B17" w:rsidRDefault="008B17E9" w:rsidP="005A50F9">
            <w:pPr>
              <w:spacing w:before="60" w:after="60" w:line="252" w:lineRule="auto"/>
              <w:rPr>
                <w:b/>
                <w:sz w:val="20"/>
                <w:szCs w:val="20"/>
              </w:rPr>
            </w:pPr>
            <w:r w:rsidRPr="00C67B17">
              <w:rPr>
                <w:b/>
                <w:sz w:val="20"/>
                <w:szCs w:val="20"/>
              </w:rPr>
              <w:t xml:space="preserve">Physical </w:t>
            </w:r>
            <w:r w:rsidR="005A50F9">
              <w:rPr>
                <w:b/>
                <w:sz w:val="20"/>
                <w:szCs w:val="20"/>
              </w:rPr>
              <w:t>c</w:t>
            </w:r>
            <w:r w:rsidRPr="00C67B17">
              <w:rPr>
                <w:b/>
                <w:sz w:val="20"/>
                <w:szCs w:val="20"/>
              </w:rPr>
              <w:t>ount</w:t>
            </w:r>
          </w:p>
        </w:tc>
        <w:tc>
          <w:tcPr>
            <w:tcW w:w="7353" w:type="dxa"/>
          </w:tcPr>
          <w:p w:rsidR="008B17E9" w:rsidRPr="00C67B17" w:rsidRDefault="008B17E9" w:rsidP="008B17E9">
            <w:pPr>
              <w:spacing w:before="60" w:after="60" w:line="252" w:lineRule="auto"/>
              <w:rPr>
                <w:b/>
                <w:sz w:val="20"/>
                <w:szCs w:val="20"/>
              </w:rPr>
            </w:pPr>
            <w:r w:rsidRPr="00C67B17">
              <w:rPr>
                <w:sz w:val="20"/>
                <w:szCs w:val="20"/>
              </w:rPr>
              <w:t xml:space="preserve">A verification of the true quantity </w:t>
            </w:r>
            <w:r w:rsidR="00F53221">
              <w:rPr>
                <w:sz w:val="20"/>
                <w:szCs w:val="20"/>
              </w:rPr>
              <w:t xml:space="preserve">of commodity in the warehouse. </w:t>
            </w:r>
            <w:r w:rsidRPr="00C67B17">
              <w:rPr>
                <w:sz w:val="20"/>
                <w:szCs w:val="20"/>
              </w:rPr>
              <w:t>During the physical count, every item is counted</w:t>
            </w:r>
            <w:r w:rsidR="00F53221">
              <w:rPr>
                <w:sz w:val="20"/>
                <w:szCs w:val="20"/>
              </w:rPr>
              <w:t>,</w:t>
            </w:r>
            <w:r w:rsidRPr="00C67B17">
              <w:rPr>
                <w:sz w:val="20"/>
                <w:szCs w:val="20"/>
              </w:rPr>
              <w:t xml:space="preserve"> and that calculation is compared with the control records.</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bCs/>
                <w:sz w:val="20"/>
                <w:szCs w:val="20"/>
              </w:rPr>
              <w:t>Pilferage</w:t>
            </w:r>
          </w:p>
        </w:tc>
        <w:tc>
          <w:tcPr>
            <w:tcW w:w="7353" w:type="dxa"/>
          </w:tcPr>
          <w:p w:rsidR="008B17E9" w:rsidRPr="00C67B17" w:rsidRDefault="008B17E9" w:rsidP="00F53221">
            <w:pPr>
              <w:spacing w:before="60" w:after="60" w:line="252" w:lineRule="auto"/>
              <w:rPr>
                <w:sz w:val="20"/>
                <w:szCs w:val="20"/>
              </w:rPr>
            </w:pPr>
            <w:r w:rsidRPr="00C67B17">
              <w:rPr>
                <w:sz w:val="20"/>
                <w:szCs w:val="20"/>
              </w:rPr>
              <w:t>As used in marine insurance policies, the term denotes petty thievery</w:t>
            </w:r>
            <w:r w:rsidR="00F53221">
              <w:rPr>
                <w:sz w:val="20"/>
                <w:szCs w:val="20"/>
              </w:rPr>
              <w:t xml:space="preserve"> (</w:t>
            </w:r>
            <w:r w:rsidRPr="00C67B17">
              <w:rPr>
                <w:sz w:val="20"/>
                <w:szCs w:val="20"/>
              </w:rPr>
              <w:t>the taking of small parts of a shipment</w:t>
            </w:r>
            <w:r w:rsidR="00F53221">
              <w:rPr>
                <w:sz w:val="20"/>
                <w:szCs w:val="20"/>
              </w:rPr>
              <w:t xml:space="preserve">) </w:t>
            </w:r>
            <w:r w:rsidRPr="00C67B17">
              <w:rPr>
                <w:sz w:val="20"/>
                <w:szCs w:val="20"/>
              </w:rPr>
              <w:t>as opposed to the theft of a whole shipment or large unit. Many ordinary marine insurance policies do not cover pilferage, and</w:t>
            </w:r>
            <w:r w:rsidR="00F53221">
              <w:rPr>
                <w:sz w:val="20"/>
                <w:szCs w:val="20"/>
              </w:rPr>
              <w:t>,</w:t>
            </w:r>
            <w:r w:rsidRPr="00C67B17">
              <w:rPr>
                <w:sz w:val="20"/>
                <w:szCs w:val="20"/>
              </w:rPr>
              <w:t xml:space="preserve"> when this coverage is desired</w:t>
            </w:r>
            <w:r w:rsidR="00F53221">
              <w:rPr>
                <w:sz w:val="20"/>
                <w:szCs w:val="20"/>
              </w:rPr>
              <w:t>,</w:t>
            </w:r>
            <w:r w:rsidRPr="00C67B17">
              <w:rPr>
                <w:sz w:val="20"/>
                <w:szCs w:val="20"/>
              </w:rPr>
              <w:t xml:space="preserve"> it must be added to the policy.</w:t>
            </w:r>
          </w:p>
        </w:tc>
      </w:tr>
      <w:tr w:rsidR="008B17E9" w:rsidRPr="008F550F" w:rsidTr="00BE0F7C">
        <w:tc>
          <w:tcPr>
            <w:tcW w:w="1890" w:type="dxa"/>
            <w:shd w:val="clear" w:color="auto" w:fill="auto"/>
          </w:tcPr>
          <w:p w:rsidR="008B17E9" w:rsidRPr="00C67B17" w:rsidRDefault="008B17E9" w:rsidP="008B17E9">
            <w:pPr>
              <w:spacing w:before="60" w:after="60" w:line="252" w:lineRule="auto"/>
              <w:rPr>
                <w:b/>
                <w:sz w:val="20"/>
                <w:szCs w:val="20"/>
              </w:rPr>
            </w:pPr>
            <w:r w:rsidRPr="00C67B17">
              <w:rPr>
                <w:b/>
                <w:bCs/>
                <w:sz w:val="20"/>
                <w:szCs w:val="20"/>
              </w:rPr>
              <w:t>Pipeline</w:t>
            </w:r>
          </w:p>
        </w:tc>
        <w:tc>
          <w:tcPr>
            <w:tcW w:w="7353" w:type="dxa"/>
          </w:tcPr>
          <w:p w:rsidR="008B17E9" w:rsidRPr="00C67B17" w:rsidRDefault="008B17E9" w:rsidP="00F53221">
            <w:pPr>
              <w:spacing w:before="60" w:after="60" w:line="252" w:lineRule="auto"/>
              <w:rPr>
                <w:sz w:val="20"/>
                <w:szCs w:val="20"/>
              </w:rPr>
            </w:pPr>
            <w:r w:rsidRPr="00C67B17">
              <w:rPr>
                <w:sz w:val="20"/>
                <w:szCs w:val="20"/>
              </w:rPr>
              <w:t xml:space="preserve">The amount of funds obligated but not yet spent. </w:t>
            </w:r>
            <w:r w:rsidR="00F53221">
              <w:rPr>
                <w:sz w:val="20"/>
                <w:szCs w:val="20"/>
              </w:rPr>
              <w:t>The pipeline</w:t>
            </w:r>
            <w:r w:rsidRPr="00C67B17">
              <w:rPr>
                <w:sz w:val="20"/>
                <w:szCs w:val="20"/>
              </w:rPr>
              <w:t xml:space="preserve"> is calculated by adding up all the funds spent to date and subtracting that amount from the total obligation to date.</w:t>
            </w:r>
          </w:p>
        </w:tc>
      </w:tr>
      <w:tr w:rsidR="008B17E9" w:rsidRPr="008F550F" w:rsidTr="00BE0F7C">
        <w:tc>
          <w:tcPr>
            <w:tcW w:w="1890" w:type="dxa"/>
            <w:shd w:val="clear" w:color="auto" w:fill="auto"/>
          </w:tcPr>
          <w:p w:rsidR="008B17E9" w:rsidRPr="00C67B17" w:rsidRDefault="008B17E9" w:rsidP="008B17E9">
            <w:pPr>
              <w:spacing w:before="60" w:after="60" w:line="252" w:lineRule="auto"/>
              <w:rPr>
                <w:b/>
                <w:sz w:val="20"/>
                <w:szCs w:val="20"/>
              </w:rPr>
            </w:pPr>
            <w:r w:rsidRPr="00C67B17">
              <w:rPr>
                <w:b/>
                <w:sz w:val="20"/>
                <w:szCs w:val="20"/>
              </w:rPr>
              <w:t>Pipeline analysis</w:t>
            </w:r>
          </w:p>
        </w:tc>
        <w:tc>
          <w:tcPr>
            <w:tcW w:w="7353" w:type="dxa"/>
          </w:tcPr>
          <w:p w:rsidR="008B17E9" w:rsidRPr="00C67B17" w:rsidRDefault="008B17E9" w:rsidP="008B17E9">
            <w:pPr>
              <w:spacing w:before="60" w:after="60" w:line="252" w:lineRule="auto"/>
              <w:rPr>
                <w:sz w:val="20"/>
                <w:szCs w:val="20"/>
              </w:rPr>
            </w:pPr>
            <w:r w:rsidRPr="00C67B17">
              <w:rPr>
                <w:sz w:val="20"/>
                <w:szCs w:val="20"/>
              </w:rPr>
              <w:t>An ongoing planning activity that assesses all commodities on order, in transit to the country, at the port, in inventory at local warehouses, in transit to distribution sites, and available at the sites during a designated period of time. This analysis helps determine the quantities of commodity that need to be ordered to keep the warehouse(s) or distribution site(s) adequately stocked to meet program needs.</w:t>
            </w:r>
          </w:p>
          <w:p w:rsidR="008B17E9" w:rsidRPr="00C67B17" w:rsidRDefault="008B17E9" w:rsidP="008B17E9">
            <w:pPr>
              <w:spacing w:before="60" w:after="60" w:line="252" w:lineRule="auto"/>
              <w:rPr>
                <w:sz w:val="20"/>
                <w:szCs w:val="20"/>
              </w:rPr>
            </w:pPr>
            <w:r w:rsidRPr="00C67B17">
              <w:rPr>
                <w:sz w:val="20"/>
                <w:szCs w:val="20"/>
              </w:rPr>
              <w:t>Each Awardee conducts a commodity pipeline analysis to prepare its AER and calls forward.</w:t>
            </w:r>
          </w:p>
        </w:tc>
      </w:tr>
      <w:tr w:rsidR="008B17E9" w:rsidRPr="008F550F" w:rsidTr="008F10C0">
        <w:tc>
          <w:tcPr>
            <w:tcW w:w="1890" w:type="dxa"/>
            <w:tcBorders>
              <w:top w:val="single" w:sz="4" w:space="0" w:color="auto"/>
            </w:tcBorders>
          </w:tcPr>
          <w:p w:rsidR="008B17E9" w:rsidRPr="00C67B17" w:rsidRDefault="008B17E9" w:rsidP="00F53221">
            <w:pPr>
              <w:spacing w:before="60" w:after="60" w:line="252" w:lineRule="auto"/>
              <w:rPr>
                <w:b/>
                <w:sz w:val="20"/>
                <w:szCs w:val="20"/>
              </w:rPr>
            </w:pPr>
            <w:r w:rsidRPr="00C67B17">
              <w:rPr>
                <w:b/>
                <w:sz w:val="20"/>
                <w:szCs w:val="20"/>
              </w:rPr>
              <w:t xml:space="preserve">Pipeline and </w:t>
            </w:r>
            <w:r w:rsidR="00F53221">
              <w:rPr>
                <w:b/>
                <w:sz w:val="20"/>
                <w:szCs w:val="20"/>
              </w:rPr>
              <w:t>r</w:t>
            </w:r>
            <w:r w:rsidRPr="00C67B17">
              <w:rPr>
                <w:b/>
                <w:sz w:val="20"/>
                <w:szCs w:val="20"/>
              </w:rPr>
              <w:t xml:space="preserve">esource </w:t>
            </w:r>
            <w:r w:rsidR="00F53221">
              <w:rPr>
                <w:b/>
                <w:sz w:val="20"/>
                <w:szCs w:val="20"/>
              </w:rPr>
              <w:t>e</w:t>
            </w:r>
            <w:r w:rsidRPr="00C67B17">
              <w:rPr>
                <w:b/>
                <w:sz w:val="20"/>
                <w:szCs w:val="20"/>
              </w:rPr>
              <w:t xml:space="preserve">stimate </w:t>
            </w:r>
            <w:r w:rsidR="00F53221">
              <w:rPr>
                <w:b/>
                <w:sz w:val="20"/>
                <w:szCs w:val="20"/>
              </w:rPr>
              <w:t>p</w:t>
            </w:r>
            <w:r w:rsidRPr="00C67B17">
              <w:rPr>
                <w:b/>
                <w:sz w:val="20"/>
                <w:szCs w:val="20"/>
              </w:rPr>
              <w:t>roposal (PREP)</w:t>
            </w:r>
          </w:p>
        </w:tc>
        <w:tc>
          <w:tcPr>
            <w:tcW w:w="7353" w:type="dxa"/>
            <w:tcBorders>
              <w:top w:val="single" w:sz="4" w:space="0" w:color="auto"/>
            </w:tcBorders>
          </w:tcPr>
          <w:p w:rsidR="008B17E9" w:rsidRPr="00C67B17" w:rsidRDefault="008B17E9" w:rsidP="00F53221">
            <w:pPr>
              <w:spacing w:before="60" w:after="60" w:line="252" w:lineRule="auto"/>
              <w:rPr>
                <w:sz w:val="20"/>
                <w:szCs w:val="20"/>
              </w:rPr>
            </w:pPr>
            <w:r w:rsidRPr="00C67B17">
              <w:rPr>
                <w:sz w:val="20"/>
                <w:szCs w:val="20"/>
              </w:rPr>
              <w:t>The PREP describes an Awardee's food aid resource needs and activities for a food aid program over the course of the upcoming implementation year. The PREP includes, among other things, an AER and commodity pipeline analysis. Changes in allocation of metric tonnage among technical sectors greater than 10 percent must be discussed with FFP before PREP submission.</w:t>
            </w:r>
          </w:p>
        </w:tc>
      </w:tr>
      <w:tr w:rsidR="008B17E9" w:rsidRPr="008F550F" w:rsidTr="008F10C0">
        <w:tc>
          <w:tcPr>
            <w:tcW w:w="1890" w:type="dxa"/>
            <w:tcBorders>
              <w:top w:val="single" w:sz="4" w:space="0" w:color="auto"/>
            </w:tcBorders>
          </w:tcPr>
          <w:p w:rsidR="008B17E9" w:rsidRPr="00C67B17" w:rsidRDefault="008B17E9" w:rsidP="00F53221">
            <w:pPr>
              <w:spacing w:before="60" w:after="60" w:line="252" w:lineRule="auto"/>
              <w:rPr>
                <w:b/>
                <w:sz w:val="20"/>
                <w:szCs w:val="20"/>
              </w:rPr>
            </w:pPr>
            <w:r w:rsidRPr="00C67B17">
              <w:rPr>
                <w:b/>
                <w:bCs/>
                <w:sz w:val="20"/>
                <w:szCs w:val="20"/>
              </w:rPr>
              <w:t xml:space="preserve">Port of </w:t>
            </w:r>
            <w:r w:rsidR="00F53221">
              <w:rPr>
                <w:b/>
                <w:bCs/>
                <w:sz w:val="20"/>
                <w:szCs w:val="20"/>
              </w:rPr>
              <w:t>d</w:t>
            </w:r>
            <w:r w:rsidRPr="00C67B17">
              <w:rPr>
                <w:b/>
                <w:bCs/>
                <w:sz w:val="20"/>
                <w:szCs w:val="20"/>
              </w:rPr>
              <w:t>ischarge</w:t>
            </w:r>
          </w:p>
        </w:tc>
        <w:tc>
          <w:tcPr>
            <w:tcW w:w="7353" w:type="dxa"/>
            <w:tcBorders>
              <w:top w:val="single" w:sz="4" w:space="0" w:color="auto"/>
            </w:tcBorders>
          </w:tcPr>
          <w:p w:rsidR="008B17E9" w:rsidRPr="00C67B17" w:rsidRDefault="008B17E9" w:rsidP="008B17E9">
            <w:pPr>
              <w:spacing w:before="60" w:after="60" w:line="252" w:lineRule="auto"/>
              <w:rPr>
                <w:sz w:val="20"/>
                <w:szCs w:val="20"/>
              </w:rPr>
            </w:pPr>
            <w:r w:rsidRPr="00C67B17">
              <w:rPr>
                <w:sz w:val="20"/>
                <w:szCs w:val="20"/>
              </w:rPr>
              <w:t xml:space="preserve">A port where a vessel is </w:t>
            </w:r>
            <w:r w:rsidR="007C516C">
              <w:rPr>
                <w:sz w:val="20"/>
                <w:szCs w:val="20"/>
              </w:rPr>
              <w:t>off-loaded and cargo discharged</w:t>
            </w:r>
          </w:p>
        </w:tc>
      </w:tr>
      <w:tr w:rsidR="008B17E9" w:rsidRPr="008F550F" w:rsidTr="008F10C0">
        <w:tc>
          <w:tcPr>
            <w:tcW w:w="1890" w:type="dxa"/>
            <w:tcBorders>
              <w:top w:val="single" w:sz="4" w:space="0" w:color="auto"/>
            </w:tcBorders>
          </w:tcPr>
          <w:p w:rsidR="008B17E9" w:rsidRPr="00C67B17" w:rsidRDefault="008B17E9" w:rsidP="00F53221">
            <w:pPr>
              <w:spacing w:before="60" w:after="60" w:line="252" w:lineRule="auto"/>
              <w:rPr>
                <w:b/>
                <w:sz w:val="20"/>
                <w:szCs w:val="20"/>
              </w:rPr>
            </w:pPr>
            <w:r w:rsidRPr="00C67B17">
              <w:rPr>
                <w:b/>
                <w:bCs/>
                <w:sz w:val="20"/>
                <w:szCs w:val="20"/>
              </w:rPr>
              <w:t xml:space="preserve">Port of </w:t>
            </w:r>
            <w:r w:rsidR="00F53221">
              <w:rPr>
                <w:b/>
                <w:bCs/>
                <w:sz w:val="20"/>
                <w:szCs w:val="20"/>
              </w:rPr>
              <w:t>e</w:t>
            </w:r>
            <w:r w:rsidRPr="00C67B17">
              <w:rPr>
                <w:b/>
                <w:bCs/>
                <w:sz w:val="20"/>
                <w:szCs w:val="20"/>
              </w:rPr>
              <w:t>ntry</w:t>
            </w:r>
          </w:p>
        </w:tc>
        <w:tc>
          <w:tcPr>
            <w:tcW w:w="7353" w:type="dxa"/>
            <w:tcBorders>
              <w:top w:val="single" w:sz="4" w:space="0" w:color="auto"/>
            </w:tcBorders>
          </w:tcPr>
          <w:p w:rsidR="008B17E9" w:rsidRPr="00C67B17" w:rsidRDefault="008B17E9" w:rsidP="008B17E9">
            <w:pPr>
              <w:spacing w:before="60" w:after="60" w:line="252" w:lineRule="auto"/>
              <w:rPr>
                <w:sz w:val="20"/>
                <w:szCs w:val="20"/>
              </w:rPr>
            </w:pPr>
            <w:r w:rsidRPr="00C67B17">
              <w:rPr>
                <w:sz w:val="20"/>
                <w:szCs w:val="20"/>
              </w:rPr>
              <w:t>A port at which foreign goods are admi</w:t>
            </w:r>
            <w:r w:rsidR="007C516C">
              <w:rPr>
                <w:sz w:val="20"/>
                <w:szCs w:val="20"/>
              </w:rPr>
              <w:t>tted into the receiving country</w:t>
            </w:r>
          </w:p>
        </w:tc>
      </w:tr>
      <w:tr w:rsidR="008B17E9" w:rsidRPr="008F550F" w:rsidTr="00370662">
        <w:tc>
          <w:tcPr>
            <w:tcW w:w="1890" w:type="dxa"/>
          </w:tcPr>
          <w:p w:rsidR="008B17E9" w:rsidRPr="00C67B17" w:rsidRDefault="008B17E9" w:rsidP="00F53221">
            <w:pPr>
              <w:spacing w:before="60" w:after="60" w:line="252" w:lineRule="auto"/>
              <w:rPr>
                <w:b/>
                <w:sz w:val="20"/>
                <w:szCs w:val="20"/>
              </w:rPr>
            </w:pPr>
            <w:r w:rsidRPr="00C67B17">
              <w:rPr>
                <w:b/>
                <w:sz w:val="20"/>
                <w:szCs w:val="20"/>
              </w:rPr>
              <w:t xml:space="preserve">Purchase </w:t>
            </w:r>
            <w:r w:rsidR="00F53221">
              <w:rPr>
                <w:b/>
                <w:sz w:val="20"/>
                <w:szCs w:val="20"/>
              </w:rPr>
              <w:t>o</w:t>
            </w:r>
            <w:r w:rsidRPr="00C67B17">
              <w:rPr>
                <w:b/>
                <w:sz w:val="20"/>
                <w:szCs w:val="20"/>
              </w:rPr>
              <w:t xml:space="preserve">rder </w:t>
            </w:r>
            <w:r w:rsidR="00F53221">
              <w:rPr>
                <w:b/>
                <w:sz w:val="20"/>
                <w:szCs w:val="20"/>
              </w:rPr>
              <w:t>n</w:t>
            </w:r>
            <w:r w:rsidRPr="00C67B17">
              <w:rPr>
                <w:b/>
                <w:sz w:val="20"/>
                <w:szCs w:val="20"/>
              </w:rPr>
              <w:t>umber</w:t>
            </w:r>
          </w:p>
        </w:tc>
        <w:tc>
          <w:tcPr>
            <w:tcW w:w="7353" w:type="dxa"/>
          </w:tcPr>
          <w:p w:rsidR="008B17E9" w:rsidRPr="00C67B17" w:rsidRDefault="008B17E9" w:rsidP="007C516C">
            <w:pPr>
              <w:tabs>
                <w:tab w:val="left" w:pos="-720"/>
              </w:tabs>
              <w:spacing w:before="60" w:after="60" w:line="252" w:lineRule="auto"/>
              <w:rPr>
                <w:rFonts w:eastAsia="Times New Roman" w:cs="Arial"/>
                <w:sz w:val="20"/>
                <w:szCs w:val="20"/>
              </w:rPr>
            </w:pPr>
            <w:r w:rsidRPr="00C67B17">
              <w:rPr>
                <w:rFonts w:eastAsia="Times New Roman" w:cs="Arial"/>
                <w:sz w:val="20"/>
                <w:szCs w:val="20"/>
              </w:rPr>
              <w:t>Unique number for a specific shipment of commodity, generated in WBSCM, and appearing on the CA</w:t>
            </w:r>
            <w:r w:rsidR="007C516C">
              <w:rPr>
                <w:rFonts w:eastAsia="Times New Roman" w:cs="Arial"/>
                <w:sz w:val="20"/>
                <w:szCs w:val="20"/>
              </w:rPr>
              <w:t>R</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rFonts w:eastAsia="Times New Roman" w:cs="Arial"/>
                <w:b/>
                <w:sz w:val="20"/>
                <w:szCs w:val="20"/>
              </w:rPr>
              <w:t>Quarterly Web-Interfaced Commodity Report</w:t>
            </w:r>
            <w:r w:rsidRPr="00C67B17">
              <w:rPr>
                <w:b/>
                <w:sz w:val="20"/>
                <w:szCs w:val="20"/>
              </w:rPr>
              <w:t xml:space="preserve">  (QWICR)</w:t>
            </w:r>
          </w:p>
        </w:tc>
        <w:tc>
          <w:tcPr>
            <w:tcW w:w="7353" w:type="dxa"/>
          </w:tcPr>
          <w:p w:rsidR="008B17E9" w:rsidRPr="00C67B17" w:rsidRDefault="008B17E9" w:rsidP="007C516C">
            <w:pPr>
              <w:tabs>
                <w:tab w:val="left" w:pos="-720"/>
              </w:tabs>
              <w:spacing w:before="60" w:after="60" w:line="252" w:lineRule="auto"/>
              <w:rPr>
                <w:rFonts w:eastAsia="Times New Roman" w:cs="Arial"/>
                <w:sz w:val="20"/>
                <w:szCs w:val="20"/>
              </w:rPr>
            </w:pPr>
            <w:r w:rsidRPr="00C67B17">
              <w:rPr>
                <w:rFonts w:eastAsia="Times New Roman" w:cs="Arial"/>
                <w:sz w:val="20"/>
                <w:szCs w:val="20"/>
              </w:rPr>
              <w:t>The FFP secure, online commodity reporting system accessible to USAID Washington, USAID missions</w:t>
            </w:r>
            <w:r w:rsidR="007C516C">
              <w:rPr>
                <w:rFonts w:eastAsia="Times New Roman" w:cs="Arial"/>
                <w:sz w:val="20"/>
                <w:szCs w:val="20"/>
              </w:rPr>
              <w:t>,</w:t>
            </w:r>
            <w:r w:rsidRPr="00C67B17">
              <w:rPr>
                <w:rFonts w:eastAsia="Times New Roman" w:cs="Arial"/>
                <w:sz w:val="20"/>
                <w:szCs w:val="20"/>
              </w:rPr>
              <w:t xml:space="preserve"> and Title II Awardees. QWICR enables Awardees to submit CSR, RSR, LSR, and DMCR to their respective USAID missions in an accurate and timely manner. It contains standardized formats for required reports and a robust ad-hoc consolidated analysis report-generation mechanism. It allows the user to analyze submissions, track loss trends</w:t>
            </w:r>
            <w:r w:rsidR="007C516C">
              <w:rPr>
                <w:rFonts w:eastAsia="Times New Roman" w:cs="Arial"/>
                <w:sz w:val="20"/>
                <w:szCs w:val="20"/>
              </w:rPr>
              <w:t>,</w:t>
            </w:r>
            <w:r w:rsidRPr="00C67B17">
              <w:rPr>
                <w:rFonts w:eastAsia="Times New Roman" w:cs="Arial"/>
                <w:sz w:val="20"/>
                <w:szCs w:val="20"/>
              </w:rPr>
              <w:t xml:space="preserve"> and create tables to proactively comply with Regulation 11 monitoring, oversight</w:t>
            </w:r>
            <w:r w:rsidR="007C516C">
              <w:rPr>
                <w:rFonts w:eastAsia="Times New Roman" w:cs="Arial"/>
                <w:sz w:val="20"/>
                <w:szCs w:val="20"/>
              </w:rPr>
              <w:t>,</w:t>
            </w:r>
            <w:r w:rsidRPr="00C67B17">
              <w:rPr>
                <w:rFonts w:eastAsia="Times New Roman" w:cs="Arial"/>
                <w:sz w:val="20"/>
                <w:szCs w:val="20"/>
              </w:rPr>
              <w:t xml:space="preserve"> and accountability requirements.</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Recipient</w:t>
            </w:r>
          </w:p>
        </w:tc>
        <w:tc>
          <w:tcPr>
            <w:tcW w:w="7353" w:type="dxa"/>
          </w:tcPr>
          <w:p w:rsidR="008B17E9" w:rsidRPr="00C67B17" w:rsidRDefault="008B17E9" w:rsidP="007C516C">
            <w:pPr>
              <w:tabs>
                <w:tab w:val="left" w:pos="-720"/>
              </w:tabs>
              <w:spacing w:before="60" w:after="60" w:line="252" w:lineRule="auto"/>
              <w:rPr>
                <w:sz w:val="20"/>
                <w:szCs w:val="20"/>
              </w:rPr>
            </w:pPr>
            <w:r w:rsidRPr="00C67B17">
              <w:rPr>
                <w:sz w:val="20"/>
                <w:szCs w:val="20"/>
              </w:rPr>
              <w:t xml:space="preserve">A recipient is a direct receiver of food assistance rations.  A recipient is always a beneficiary under a Title II program. A recipient is eligible to receive commodities because of economic or nutritional condition, or otherwise in accordance with the terms and conditions of the approved Operational Plan or Transfer Authorization. </w:t>
            </w:r>
          </w:p>
        </w:tc>
      </w:tr>
      <w:tr w:rsidR="007C516C" w:rsidRPr="008F550F" w:rsidTr="00370662">
        <w:tc>
          <w:tcPr>
            <w:tcW w:w="1890" w:type="dxa"/>
          </w:tcPr>
          <w:p w:rsidR="007C516C" w:rsidRPr="00C67B17" w:rsidRDefault="007C516C" w:rsidP="008B17E9">
            <w:pPr>
              <w:spacing w:before="60" w:after="60" w:line="252" w:lineRule="auto"/>
              <w:rPr>
                <w:b/>
                <w:sz w:val="20"/>
                <w:szCs w:val="20"/>
              </w:rPr>
            </w:pPr>
            <w:r w:rsidRPr="00C67B17">
              <w:rPr>
                <w:b/>
                <w:sz w:val="20"/>
                <w:szCs w:val="20"/>
              </w:rPr>
              <w:lastRenderedPageBreak/>
              <w:t>Recipient</w:t>
            </w:r>
            <w:r>
              <w:rPr>
                <w:b/>
                <w:sz w:val="20"/>
                <w:szCs w:val="20"/>
              </w:rPr>
              <w:t xml:space="preserve"> (cont’d)</w:t>
            </w:r>
          </w:p>
        </w:tc>
        <w:tc>
          <w:tcPr>
            <w:tcW w:w="7353" w:type="dxa"/>
          </w:tcPr>
          <w:p w:rsidR="007C516C" w:rsidRPr="00C67B17" w:rsidRDefault="007C516C" w:rsidP="008B17E9">
            <w:pPr>
              <w:tabs>
                <w:tab w:val="left" w:pos="-720"/>
              </w:tabs>
              <w:spacing w:before="60" w:after="60" w:line="252" w:lineRule="auto"/>
              <w:rPr>
                <w:sz w:val="20"/>
                <w:szCs w:val="20"/>
              </w:rPr>
            </w:pPr>
            <w:r w:rsidRPr="00C67B17">
              <w:rPr>
                <w:sz w:val="20"/>
                <w:szCs w:val="20"/>
              </w:rPr>
              <w:t>For tracking purposes, program recipient</w:t>
            </w:r>
            <w:r>
              <w:rPr>
                <w:sz w:val="20"/>
                <w:szCs w:val="20"/>
              </w:rPr>
              <w:t>s</w:t>
            </w:r>
            <w:r w:rsidRPr="00C67B17">
              <w:rPr>
                <w:sz w:val="20"/>
                <w:szCs w:val="20"/>
              </w:rPr>
              <w:t xml:space="preserve"> should be counted once, regardless of the number of months they will receive food aid. In other words, a recipient who will receive a food assistance ration for 12 months is counted once, as is a recipient who will receive a food assistance ration for three months.</w:t>
            </w:r>
          </w:p>
        </w:tc>
      </w:tr>
      <w:tr w:rsidR="008B17E9" w:rsidRPr="008F550F" w:rsidTr="00370662">
        <w:tc>
          <w:tcPr>
            <w:tcW w:w="1890" w:type="dxa"/>
          </w:tcPr>
          <w:p w:rsidR="008B17E9" w:rsidRPr="00C67B17" w:rsidRDefault="008B17E9" w:rsidP="00147F82">
            <w:pPr>
              <w:spacing w:before="60" w:after="60" w:line="252" w:lineRule="auto"/>
              <w:rPr>
                <w:b/>
                <w:sz w:val="20"/>
                <w:szCs w:val="20"/>
              </w:rPr>
            </w:pPr>
            <w:r w:rsidRPr="00C67B17">
              <w:rPr>
                <w:b/>
                <w:sz w:val="20"/>
                <w:szCs w:val="20"/>
              </w:rPr>
              <w:t xml:space="preserve">Recipient </w:t>
            </w:r>
            <w:r w:rsidR="00147F82">
              <w:rPr>
                <w:b/>
                <w:sz w:val="20"/>
                <w:szCs w:val="20"/>
              </w:rPr>
              <w:t>a</w:t>
            </w:r>
            <w:r w:rsidRPr="00C67B17">
              <w:rPr>
                <w:b/>
                <w:sz w:val="20"/>
                <w:szCs w:val="20"/>
              </w:rPr>
              <w:t>gency</w:t>
            </w:r>
          </w:p>
        </w:tc>
        <w:tc>
          <w:tcPr>
            <w:tcW w:w="7353" w:type="dxa"/>
          </w:tcPr>
          <w:p w:rsidR="008B17E9" w:rsidRPr="00C67B17" w:rsidRDefault="008B17E9" w:rsidP="008B17E9">
            <w:pPr>
              <w:tabs>
                <w:tab w:val="left" w:pos="-720"/>
              </w:tabs>
              <w:spacing w:before="60" w:after="60" w:line="252" w:lineRule="auto"/>
              <w:rPr>
                <w:sz w:val="20"/>
                <w:szCs w:val="20"/>
              </w:rPr>
            </w:pPr>
            <w:r w:rsidRPr="00147F82">
              <w:rPr>
                <w:sz w:val="20"/>
                <w:szCs w:val="20"/>
              </w:rPr>
              <w:t>S</w:t>
            </w:r>
            <w:r w:rsidRPr="00C67B17">
              <w:rPr>
                <w:sz w:val="20"/>
                <w:szCs w:val="20"/>
              </w:rPr>
              <w:t>chools, institutions, welfare agencies, disaster relief organizations, and public or private agencies whose food distribution functions or project activities are sponsored by the Awardee and which receive commodities for dist</w:t>
            </w:r>
            <w:r w:rsidR="00147F82">
              <w:rPr>
                <w:sz w:val="20"/>
                <w:szCs w:val="20"/>
              </w:rPr>
              <w:t>ribution to eligible recipients</w:t>
            </w:r>
          </w:p>
        </w:tc>
      </w:tr>
      <w:tr w:rsidR="008B17E9" w:rsidRPr="008F550F" w:rsidTr="00370662">
        <w:tc>
          <w:tcPr>
            <w:tcW w:w="1890" w:type="dxa"/>
          </w:tcPr>
          <w:p w:rsidR="008B17E9" w:rsidRPr="00C67B17" w:rsidRDefault="008B17E9" w:rsidP="00147F82">
            <w:pPr>
              <w:spacing w:before="60" w:after="60" w:line="252" w:lineRule="auto"/>
              <w:rPr>
                <w:b/>
                <w:sz w:val="20"/>
                <w:szCs w:val="20"/>
              </w:rPr>
            </w:pPr>
            <w:r w:rsidRPr="00C67B17">
              <w:rPr>
                <w:b/>
                <w:sz w:val="20"/>
                <w:szCs w:val="20"/>
              </w:rPr>
              <w:t xml:space="preserve">Recipient </w:t>
            </w:r>
            <w:r w:rsidR="00147F82">
              <w:rPr>
                <w:b/>
                <w:sz w:val="20"/>
                <w:szCs w:val="20"/>
              </w:rPr>
              <w:t>s</w:t>
            </w:r>
            <w:r w:rsidRPr="00C67B17">
              <w:rPr>
                <w:b/>
                <w:sz w:val="20"/>
                <w:szCs w:val="20"/>
              </w:rPr>
              <w:t xml:space="preserve">tatus </w:t>
            </w:r>
            <w:r w:rsidR="00147F82">
              <w:rPr>
                <w:b/>
                <w:sz w:val="20"/>
                <w:szCs w:val="20"/>
              </w:rPr>
              <w:t>r</w:t>
            </w:r>
            <w:r w:rsidRPr="00C67B17">
              <w:rPr>
                <w:b/>
                <w:sz w:val="20"/>
                <w:szCs w:val="20"/>
              </w:rPr>
              <w:t>eport (RSR)</w:t>
            </w:r>
          </w:p>
        </w:tc>
        <w:tc>
          <w:tcPr>
            <w:tcW w:w="7353" w:type="dxa"/>
          </w:tcPr>
          <w:p w:rsidR="008B17E9" w:rsidRPr="00C67B17" w:rsidRDefault="008B17E9" w:rsidP="008B17E9">
            <w:pPr>
              <w:tabs>
                <w:tab w:val="left" w:pos="-720"/>
              </w:tabs>
              <w:spacing w:before="60" w:after="60" w:line="252" w:lineRule="auto"/>
              <w:rPr>
                <w:rFonts w:eastAsia="Times New Roman" w:cs="Arial"/>
                <w:sz w:val="20"/>
                <w:szCs w:val="20"/>
              </w:rPr>
            </w:pPr>
            <w:r w:rsidRPr="00C67B17">
              <w:rPr>
                <w:rFonts w:eastAsia="Times New Roman" w:cs="Arial"/>
                <w:sz w:val="20"/>
                <w:szCs w:val="20"/>
              </w:rPr>
              <w:t>A summary of all commodities distributed to recipients during the reporting period and the numbers of recipients provided wit</w:t>
            </w:r>
            <w:r w:rsidR="00147F82">
              <w:rPr>
                <w:rFonts w:eastAsia="Times New Roman" w:cs="Arial"/>
                <w:sz w:val="20"/>
                <w:szCs w:val="20"/>
              </w:rPr>
              <w:t>h food in each program category</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Reconditioning</w:t>
            </w:r>
          </w:p>
        </w:tc>
        <w:tc>
          <w:tcPr>
            <w:tcW w:w="7353" w:type="dxa"/>
          </w:tcPr>
          <w:p w:rsidR="008B17E9" w:rsidRPr="00C67B17" w:rsidRDefault="008B17E9" w:rsidP="008B17E9">
            <w:pPr>
              <w:tabs>
                <w:tab w:val="left" w:pos="-720"/>
              </w:tabs>
              <w:spacing w:before="60" w:after="60" w:line="252" w:lineRule="auto"/>
              <w:jc w:val="both"/>
              <w:rPr>
                <w:rFonts w:eastAsia="Times New Roman" w:cs="Arial"/>
                <w:sz w:val="20"/>
                <w:szCs w:val="20"/>
              </w:rPr>
            </w:pPr>
            <w:r w:rsidRPr="00C67B17">
              <w:rPr>
                <w:rFonts w:eastAsia="Times New Roman" w:cs="Arial"/>
                <w:sz w:val="20"/>
                <w:szCs w:val="20"/>
              </w:rPr>
              <w:t xml:space="preserve">(see </w:t>
            </w:r>
            <w:r w:rsidRPr="00C67B17">
              <w:rPr>
                <w:rFonts w:eastAsia="Times New Roman" w:cs="Arial"/>
                <w:b/>
                <w:sz w:val="20"/>
                <w:szCs w:val="20"/>
              </w:rPr>
              <w:t>Reconstitution</w:t>
            </w:r>
            <w:r w:rsidRPr="00C67B17">
              <w:rPr>
                <w:rFonts w:eastAsia="Times New Roman" w:cs="Arial"/>
                <w:sz w:val="20"/>
                <w:szCs w:val="20"/>
              </w:rPr>
              <w:t>)</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Reconstitution</w:t>
            </w:r>
          </w:p>
        </w:tc>
        <w:tc>
          <w:tcPr>
            <w:tcW w:w="7353" w:type="dxa"/>
          </w:tcPr>
          <w:p w:rsidR="008B17E9" w:rsidRPr="00C67B17" w:rsidRDefault="008B17E9" w:rsidP="00147F82">
            <w:pPr>
              <w:tabs>
                <w:tab w:val="left" w:pos="-720"/>
              </w:tabs>
              <w:spacing w:before="60" w:after="60" w:line="252" w:lineRule="auto"/>
              <w:rPr>
                <w:rFonts w:eastAsia="Times New Roman" w:cs="Arial"/>
                <w:sz w:val="20"/>
                <w:szCs w:val="20"/>
              </w:rPr>
            </w:pPr>
            <w:r w:rsidRPr="00C67B17">
              <w:rPr>
                <w:rFonts w:eastAsia="Times New Roman" w:cs="Arial"/>
                <w:sz w:val="20"/>
                <w:szCs w:val="20"/>
              </w:rPr>
              <w:t xml:space="preserve">The process of taking commodities from damaged packages (bags, cartons or containers) and filling new ones to the standard weight specified on the </w:t>
            </w:r>
            <w:r w:rsidR="00147F82">
              <w:rPr>
                <w:rFonts w:eastAsia="Times New Roman" w:cs="Arial"/>
                <w:sz w:val="20"/>
                <w:szCs w:val="20"/>
              </w:rPr>
              <w:t>b</w:t>
            </w:r>
            <w:r w:rsidRPr="00C67B17">
              <w:rPr>
                <w:rFonts w:eastAsia="Times New Roman" w:cs="Arial"/>
                <w:sz w:val="20"/>
                <w:szCs w:val="20"/>
              </w:rPr>
              <w:t xml:space="preserve">ill of </w:t>
            </w:r>
            <w:r w:rsidR="00147F82">
              <w:rPr>
                <w:rFonts w:eastAsia="Times New Roman" w:cs="Arial"/>
                <w:sz w:val="20"/>
                <w:szCs w:val="20"/>
              </w:rPr>
              <w:t>lading</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Recovery</w:t>
            </w:r>
          </w:p>
        </w:tc>
        <w:tc>
          <w:tcPr>
            <w:tcW w:w="7353" w:type="dxa"/>
          </w:tcPr>
          <w:p w:rsidR="008B17E9" w:rsidRPr="00C67B17" w:rsidRDefault="008B17E9" w:rsidP="008B17E9">
            <w:pPr>
              <w:tabs>
                <w:tab w:val="left" w:pos="-720"/>
              </w:tabs>
              <w:spacing w:before="60" w:after="60" w:line="252" w:lineRule="auto"/>
              <w:rPr>
                <w:rFonts w:eastAsia="Times New Roman" w:cs="Arial"/>
                <w:sz w:val="20"/>
                <w:szCs w:val="20"/>
              </w:rPr>
            </w:pPr>
            <w:r w:rsidRPr="00C67B17">
              <w:rPr>
                <w:rFonts w:eastAsia="Times New Roman" w:cs="Arial"/>
                <w:sz w:val="20"/>
                <w:szCs w:val="20"/>
              </w:rPr>
              <w:t xml:space="preserve">(see </w:t>
            </w:r>
            <w:r w:rsidRPr="00C67B17">
              <w:rPr>
                <w:rFonts w:eastAsia="Times New Roman" w:cs="Arial"/>
                <w:b/>
                <w:sz w:val="20"/>
                <w:szCs w:val="20"/>
              </w:rPr>
              <w:t>Reconstitution</w:t>
            </w:r>
            <w:r w:rsidRPr="00C67B17">
              <w:rPr>
                <w:rFonts w:eastAsia="Times New Roman" w:cs="Arial"/>
                <w:sz w:val="20"/>
                <w:szCs w:val="20"/>
              </w:rPr>
              <w:t>)</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Repackaging</w:t>
            </w:r>
          </w:p>
        </w:tc>
        <w:tc>
          <w:tcPr>
            <w:tcW w:w="7353" w:type="dxa"/>
          </w:tcPr>
          <w:p w:rsidR="008B17E9" w:rsidRPr="00C67B17" w:rsidRDefault="008B17E9" w:rsidP="008B17E9">
            <w:pPr>
              <w:tabs>
                <w:tab w:val="left" w:pos="-720"/>
              </w:tabs>
              <w:spacing w:before="60" w:after="60" w:line="252" w:lineRule="auto"/>
              <w:rPr>
                <w:rFonts w:eastAsia="Times New Roman" w:cs="Arial"/>
                <w:sz w:val="20"/>
                <w:szCs w:val="20"/>
              </w:rPr>
            </w:pPr>
            <w:r w:rsidRPr="00C67B17">
              <w:rPr>
                <w:rFonts w:eastAsia="Times New Roman" w:cs="Arial"/>
                <w:sz w:val="20"/>
                <w:szCs w:val="20"/>
              </w:rPr>
              <w:t xml:space="preserve">(see </w:t>
            </w:r>
            <w:r w:rsidRPr="00C67B17">
              <w:rPr>
                <w:rFonts w:eastAsia="Times New Roman" w:cs="Arial"/>
                <w:b/>
                <w:sz w:val="20"/>
                <w:szCs w:val="20"/>
              </w:rPr>
              <w:t>Reconstitution</w:t>
            </w:r>
            <w:r w:rsidRPr="00C67B17">
              <w:rPr>
                <w:rFonts w:eastAsia="Times New Roman" w:cs="Arial"/>
                <w:sz w:val="20"/>
                <w:szCs w:val="20"/>
              </w:rPr>
              <w:t>)</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sz w:val="20"/>
                <w:szCs w:val="20"/>
              </w:rPr>
              <w:t xml:space="preserve">Sales </w:t>
            </w:r>
            <w:r w:rsidR="00663038">
              <w:rPr>
                <w:b/>
                <w:sz w:val="20"/>
                <w:szCs w:val="20"/>
              </w:rPr>
              <w:t>o</w:t>
            </w:r>
            <w:r w:rsidRPr="00C67B17">
              <w:rPr>
                <w:b/>
                <w:sz w:val="20"/>
                <w:szCs w:val="20"/>
              </w:rPr>
              <w:t>rder (SO)</w:t>
            </w:r>
          </w:p>
          <w:p w:rsidR="008B17E9" w:rsidRPr="00C67B17" w:rsidRDefault="008B17E9" w:rsidP="00663038">
            <w:pPr>
              <w:spacing w:before="60" w:after="60" w:line="252" w:lineRule="auto"/>
              <w:rPr>
                <w:b/>
                <w:sz w:val="20"/>
                <w:szCs w:val="20"/>
              </w:rPr>
            </w:pPr>
            <w:r w:rsidRPr="00C67B17">
              <w:rPr>
                <w:b/>
                <w:sz w:val="20"/>
                <w:szCs w:val="20"/>
              </w:rPr>
              <w:t>(</w:t>
            </w:r>
            <w:r w:rsidR="00663038">
              <w:rPr>
                <w:b/>
                <w:sz w:val="20"/>
                <w:szCs w:val="20"/>
              </w:rPr>
              <w:t>c</w:t>
            </w:r>
            <w:r w:rsidRPr="00C67B17">
              <w:rPr>
                <w:b/>
                <w:sz w:val="20"/>
                <w:szCs w:val="20"/>
              </w:rPr>
              <w:t xml:space="preserve">all </w:t>
            </w:r>
            <w:r w:rsidR="00663038">
              <w:rPr>
                <w:b/>
                <w:sz w:val="20"/>
                <w:szCs w:val="20"/>
              </w:rPr>
              <w:t>f</w:t>
            </w:r>
            <w:r w:rsidRPr="00C67B17">
              <w:rPr>
                <w:b/>
                <w:sz w:val="20"/>
                <w:szCs w:val="20"/>
              </w:rPr>
              <w:t>orward)</w:t>
            </w:r>
          </w:p>
        </w:tc>
        <w:tc>
          <w:tcPr>
            <w:tcW w:w="7353" w:type="dxa"/>
          </w:tcPr>
          <w:p w:rsidR="008B17E9" w:rsidRPr="00C67B17" w:rsidRDefault="008B17E9" w:rsidP="008B17E9">
            <w:pPr>
              <w:tabs>
                <w:tab w:val="left" w:pos="-720"/>
              </w:tabs>
              <w:spacing w:before="60" w:after="60" w:line="252" w:lineRule="auto"/>
              <w:rPr>
                <w:rFonts w:eastAsia="Times New Roman" w:cs="Arial"/>
                <w:sz w:val="20"/>
                <w:szCs w:val="20"/>
              </w:rPr>
            </w:pPr>
            <w:r w:rsidRPr="00C67B17">
              <w:rPr>
                <w:rFonts w:eastAsia="Times New Roman" w:cs="Arial"/>
                <w:sz w:val="20"/>
                <w:szCs w:val="20"/>
              </w:rPr>
              <w:t>A request to the donor (</w:t>
            </w:r>
            <w:r w:rsidRPr="00C67B17">
              <w:rPr>
                <w:rFonts w:cs="Calibri"/>
                <w:sz w:val="20"/>
                <w:szCs w:val="20"/>
              </w:rPr>
              <w:t>online</w:t>
            </w:r>
            <w:r w:rsidR="00663038">
              <w:rPr>
                <w:rFonts w:cs="Calibri"/>
                <w:sz w:val="20"/>
                <w:szCs w:val="20"/>
              </w:rPr>
              <w:t>,</w:t>
            </w:r>
            <w:r w:rsidRPr="00C67B17">
              <w:rPr>
                <w:rFonts w:cs="Calibri"/>
                <w:sz w:val="20"/>
                <w:szCs w:val="20"/>
              </w:rPr>
              <w:t xml:space="preserve"> through USDA’s WBSCM commodity procurement system) </w:t>
            </w:r>
            <w:r w:rsidRPr="00C67B17">
              <w:rPr>
                <w:rFonts w:eastAsia="Times New Roman" w:cs="Arial"/>
                <w:sz w:val="20"/>
                <w:szCs w:val="20"/>
              </w:rPr>
              <w:t xml:space="preserve">for delivery of a specified amount of commodity to a particular country program for use at specified periods of time. Once approved, the donor procures the commodity and arranges with the PVO for shipment to </w:t>
            </w:r>
            <w:r w:rsidR="00663038">
              <w:rPr>
                <w:rFonts w:eastAsia="Times New Roman" w:cs="Arial"/>
                <w:sz w:val="20"/>
                <w:szCs w:val="20"/>
              </w:rPr>
              <w:t>the particular country office.</w:t>
            </w:r>
          </w:p>
          <w:p w:rsidR="008B17E9" w:rsidRPr="00C67B17" w:rsidRDefault="008B17E9" w:rsidP="008B17E9">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A sales order is based on a commodity pipeline analysis and the quantity of commo</w:t>
            </w:r>
            <w:r w:rsidR="00663038">
              <w:rPr>
                <w:rFonts w:eastAsia="Times New Roman" w:cs="Times New Roman"/>
                <w:sz w:val="20"/>
                <w:szCs w:val="20"/>
              </w:rPr>
              <w:t>dity planned for distribution.</w:t>
            </w:r>
          </w:p>
          <w:p w:rsidR="008B17E9" w:rsidRPr="00C67B17" w:rsidRDefault="008B17E9" w:rsidP="008B17E9">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A sales order generally covers projected quarterly needs</w:t>
            </w:r>
            <w:r w:rsidR="00663038">
              <w:rPr>
                <w:rFonts w:eastAsia="Times New Roman" w:cs="Times New Roman"/>
                <w:sz w:val="20"/>
                <w:szCs w:val="20"/>
              </w:rPr>
              <w:t>,</w:t>
            </w:r>
            <w:r w:rsidRPr="00C67B17">
              <w:rPr>
                <w:rFonts w:eastAsia="Times New Roman" w:cs="Times New Roman"/>
                <w:sz w:val="20"/>
                <w:szCs w:val="20"/>
              </w:rPr>
              <w:t xml:space="preserve"> although intervals may </w:t>
            </w:r>
            <w:r w:rsidR="00663038">
              <w:rPr>
                <w:rFonts w:eastAsia="Times New Roman" w:cs="Times New Roman"/>
                <w:sz w:val="20"/>
                <w:szCs w:val="20"/>
              </w:rPr>
              <w:t>vary depending on program need.</w:t>
            </w:r>
          </w:p>
          <w:p w:rsidR="008B17E9" w:rsidRPr="00C67B17" w:rsidRDefault="008B17E9" w:rsidP="008B17E9">
            <w:pPr>
              <w:numPr>
                <w:ilvl w:val="0"/>
                <w:numId w:val="1"/>
              </w:numPr>
              <w:tabs>
                <w:tab w:val="left" w:pos="-720"/>
              </w:tabs>
              <w:spacing w:before="60" w:after="60" w:line="252" w:lineRule="auto"/>
              <w:ind w:left="288" w:hanging="288"/>
              <w:rPr>
                <w:rFonts w:eastAsia="Times New Roman" w:cs="Times New Roman"/>
                <w:sz w:val="20"/>
                <w:szCs w:val="20"/>
              </w:rPr>
            </w:pPr>
            <w:r w:rsidRPr="00C67B17">
              <w:rPr>
                <w:rFonts w:eastAsia="Times New Roman" w:cs="Times New Roman"/>
                <w:sz w:val="20"/>
                <w:szCs w:val="20"/>
              </w:rPr>
              <w:t>Submission deadlines for a sales order are listed in the annual projected schedule established by the donor.</w:t>
            </w:r>
          </w:p>
        </w:tc>
      </w:tr>
      <w:tr w:rsidR="008B17E9" w:rsidRPr="008F550F" w:rsidTr="00370662">
        <w:tc>
          <w:tcPr>
            <w:tcW w:w="1890" w:type="dxa"/>
          </w:tcPr>
          <w:p w:rsidR="008B17E9" w:rsidRPr="00C67B17" w:rsidRDefault="008B17E9" w:rsidP="008B17E9">
            <w:pPr>
              <w:spacing w:before="60" w:after="60" w:line="252" w:lineRule="auto"/>
              <w:rPr>
                <w:b/>
                <w:sz w:val="20"/>
                <w:szCs w:val="20"/>
              </w:rPr>
            </w:pPr>
            <w:r w:rsidRPr="00C67B17">
              <w:rPr>
                <w:b/>
                <w:bCs/>
                <w:sz w:val="20"/>
                <w:szCs w:val="20"/>
              </w:rPr>
              <w:t>Shipment</w:t>
            </w:r>
          </w:p>
        </w:tc>
        <w:tc>
          <w:tcPr>
            <w:tcW w:w="7353" w:type="dxa"/>
          </w:tcPr>
          <w:p w:rsidR="008B17E9" w:rsidRPr="00C67B17" w:rsidRDefault="008B17E9" w:rsidP="008B17E9">
            <w:pPr>
              <w:tabs>
                <w:tab w:val="left" w:pos="-720"/>
              </w:tabs>
              <w:spacing w:before="60" w:after="60" w:line="252" w:lineRule="auto"/>
              <w:rPr>
                <w:rFonts w:eastAsia="Times New Roman" w:cs="Arial"/>
                <w:b/>
                <w:sz w:val="20"/>
                <w:szCs w:val="20"/>
              </w:rPr>
            </w:pPr>
            <w:r w:rsidRPr="00C67B17">
              <w:rPr>
                <w:sz w:val="20"/>
                <w:szCs w:val="20"/>
              </w:rPr>
              <w:t>Freight tendered to a carrier by one consignor at one place at one time</w:t>
            </w:r>
            <w:r w:rsidR="00663038">
              <w:rPr>
                <w:sz w:val="20"/>
                <w:szCs w:val="20"/>
              </w:rPr>
              <w:t>,</w:t>
            </w:r>
            <w:r w:rsidRPr="00C67B17">
              <w:rPr>
                <w:sz w:val="20"/>
                <w:szCs w:val="20"/>
              </w:rPr>
              <w:t xml:space="preserve"> for delivery to one consignee at </w:t>
            </w:r>
            <w:r w:rsidR="00841552">
              <w:rPr>
                <w:sz w:val="20"/>
                <w:szCs w:val="20"/>
              </w:rPr>
              <w:t>one place on one bill of lading</w:t>
            </w:r>
          </w:p>
        </w:tc>
      </w:tr>
      <w:tr w:rsidR="008B17E9" w:rsidRPr="008F550F" w:rsidTr="00370662">
        <w:tc>
          <w:tcPr>
            <w:tcW w:w="1890" w:type="dxa"/>
          </w:tcPr>
          <w:p w:rsidR="008B17E9" w:rsidRPr="00C67B17" w:rsidRDefault="008B17E9" w:rsidP="00841552">
            <w:pPr>
              <w:spacing w:before="60" w:after="60" w:line="252" w:lineRule="auto"/>
              <w:rPr>
                <w:b/>
                <w:sz w:val="20"/>
                <w:szCs w:val="20"/>
              </w:rPr>
            </w:pPr>
            <w:r w:rsidRPr="00C67B17">
              <w:rPr>
                <w:b/>
                <w:sz w:val="20"/>
                <w:szCs w:val="20"/>
              </w:rPr>
              <w:t xml:space="preserve">Shipment </w:t>
            </w:r>
            <w:r w:rsidR="00841552">
              <w:rPr>
                <w:b/>
                <w:sz w:val="20"/>
                <w:szCs w:val="20"/>
              </w:rPr>
              <w:t>n</w:t>
            </w:r>
            <w:r w:rsidRPr="00C67B17">
              <w:rPr>
                <w:b/>
                <w:sz w:val="20"/>
                <w:szCs w:val="20"/>
              </w:rPr>
              <w:t>umber</w:t>
            </w:r>
          </w:p>
        </w:tc>
        <w:tc>
          <w:tcPr>
            <w:tcW w:w="7353" w:type="dxa"/>
          </w:tcPr>
          <w:p w:rsidR="008B17E9" w:rsidRPr="00C67B17" w:rsidRDefault="008B17E9" w:rsidP="00841552">
            <w:pPr>
              <w:tabs>
                <w:tab w:val="left" w:pos="-720"/>
              </w:tabs>
              <w:spacing w:before="60" w:after="60" w:line="252" w:lineRule="auto"/>
              <w:rPr>
                <w:rFonts w:eastAsia="Times New Roman" w:cs="Arial"/>
                <w:b/>
                <w:sz w:val="20"/>
                <w:szCs w:val="20"/>
              </w:rPr>
            </w:pPr>
            <w:r w:rsidRPr="00C67B17">
              <w:rPr>
                <w:rFonts w:eastAsia="Times New Roman" w:cs="Arial"/>
                <w:sz w:val="20"/>
                <w:szCs w:val="20"/>
              </w:rPr>
              <w:t>Unique number for a specific shipment of commodity, generated in W</w:t>
            </w:r>
            <w:r w:rsidR="00841552">
              <w:rPr>
                <w:rFonts w:eastAsia="Times New Roman" w:cs="Arial"/>
                <w:sz w:val="20"/>
                <w:szCs w:val="20"/>
              </w:rPr>
              <w:t>BSCM</w:t>
            </w:r>
          </w:p>
        </w:tc>
      </w:tr>
      <w:tr w:rsidR="008B17E9" w:rsidRPr="008F550F" w:rsidTr="00370662">
        <w:tc>
          <w:tcPr>
            <w:tcW w:w="1890" w:type="dxa"/>
          </w:tcPr>
          <w:p w:rsidR="008B17E9" w:rsidRPr="00C67B17" w:rsidRDefault="008B17E9" w:rsidP="008B17E9">
            <w:pPr>
              <w:spacing w:before="60" w:after="60" w:line="252" w:lineRule="auto"/>
              <w:rPr>
                <w:rFonts w:eastAsia="Times New Roman" w:cs="Arial"/>
                <w:b/>
                <w:bCs/>
                <w:sz w:val="20"/>
                <w:szCs w:val="20"/>
              </w:rPr>
            </w:pPr>
            <w:r w:rsidRPr="00C67B17">
              <w:rPr>
                <w:rFonts w:eastAsia="Times New Roman" w:cs="Arial"/>
                <w:b/>
                <w:bCs/>
                <w:sz w:val="20"/>
                <w:szCs w:val="20"/>
              </w:rPr>
              <w:t>Shipping contract</w:t>
            </w:r>
          </w:p>
        </w:tc>
        <w:tc>
          <w:tcPr>
            <w:tcW w:w="7353" w:type="dxa"/>
          </w:tcPr>
          <w:p w:rsidR="008B17E9" w:rsidRPr="00C67B17" w:rsidRDefault="008B17E9" w:rsidP="008B17E9">
            <w:pPr>
              <w:tabs>
                <w:tab w:val="left" w:pos="-720"/>
              </w:tabs>
              <w:spacing w:before="60" w:after="60" w:line="252" w:lineRule="auto"/>
              <w:rPr>
                <w:rFonts w:eastAsia="Times New Roman" w:cs="Arial"/>
                <w:sz w:val="20"/>
                <w:szCs w:val="20"/>
              </w:rPr>
            </w:pPr>
            <w:r w:rsidRPr="00C67B17">
              <w:rPr>
                <w:rFonts w:eastAsia="Times New Roman" w:cs="Arial"/>
                <w:sz w:val="20"/>
                <w:szCs w:val="20"/>
              </w:rPr>
              <w:t>The contract between a shipping company and the Awardee (or “consignee”) to transport commodity from the country of ex</w:t>
            </w:r>
            <w:r w:rsidR="00191B8E">
              <w:rPr>
                <w:rFonts w:eastAsia="Times New Roman" w:cs="Arial"/>
                <w:sz w:val="20"/>
                <w:szCs w:val="20"/>
              </w:rPr>
              <w:t xml:space="preserve">port to the country of import. </w:t>
            </w:r>
            <w:r w:rsidRPr="00C67B17">
              <w:rPr>
                <w:rFonts w:eastAsia="Times New Roman" w:cs="Arial"/>
                <w:sz w:val="20"/>
                <w:szCs w:val="20"/>
              </w:rPr>
              <w:t>Specific information in such a contract includes:</w:t>
            </w:r>
          </w:p>
          <w:p w:rsidR="008B17E9" w:rsidRPr="00C67B17" w:rsidRDefault="008B17E9" w:rsidP="00191B8E">
            <w:pPr>
              <w:pStyle w:val="ListParagraph"/>
              <w:numPr>
                <w:ilvl w:val="0"/>
                <w:numId w:val="5"/>
              </w:numPr>
              <w:tabs>
                <w:tab w:val="left" w:pos="-720"/>
              </w:tabs>
              <w:spacing w:before="0" w:after="0" w:line="252" w:lineRule="auto"/>
              <w:ind w:left="288" w:hanging="288"/>
              <w:contextualSpacing w:val="0"/>
              <w:rPr>
                <w:rFonts w:eastAsia="Times New Roman" w:cs="Arial"/>
                <w:sz w:val="20"/>
                <w:szCs w:val="20"/>
              </w:rPr>
            </w:pPr>
            <w:r w:rsidRPr="00C67B17">
              <w:rPr>
                <w:rFonts w:eastAsia="Times New Roman" w:cs="Arial"/>
                <w:sz w:val="20"/>
                <w:szCs w:val="20"/>
              </w:rPr>
              <w:t>Arrival site and date</w:t>
            </w:r>
          </w:p>
          <w:p w:rsidR="008B17E9" w:rsidRPr="00C67B17" w:rsidRDefault="008B17E9" w:rsidP="00191B8E">
            <w:pPr>
              <w:pStyle w:val="ListParagraph"/>
              <w:numPr>
                <w:ilvl w:val="0"/>
                <w:numId w:val="5"/>
              </w:numPr>
              <w:tabs>
                <w:tab w:val="left" w:pos="-720"/>
              </w:tabs>
              <w:spacing w:before="0" w:after="0" w:line="252" w:lineRule="auto"/>
              <w:ind w:left="288" w:hanging="288"/>
              <w:contextualSpacing w:val="0"/>
              <w:rPr>
                <w:rFonts w:eastAsia="Times New Roman" w:cs="Arial"/>
                <w:sz w:val="20"/>
                <w:szCs w:val="20"/>
              </w:rPr>
            </w:pPr>
            <w:r w:rsidRPr="00C67B17">
              <w:rPr>
                <w:rFonts w:eastAsia="Times New Roman" w:cs="Arial"/>
                <w:sz w:val="20"/>
                <w:szCs w:val="20"/>
              </w:rPr>
              <w:t>Type and volume of cargo</w:t>
            </w:r>
          </w:p>
          <w:p w:rsidR="008B17E9" w:rsidRPr="00C67B17" w:rsidRDefault="008B17E9" w:rsidP="00191B8E">
            <w:pPr>
              <w:pStyle w:val="ListParagraph"/>
              <w:numPr>
                <w:ilvl w:val="0"/>
                <w:numId w:val="5"/>
              </w:numPr>
              <w:tabs>
                <w:tab w:val="left" w:pos="-720"/>
              </w:tabs>
              <w:spacing w:before="0" w:after="0" w:line="252" w:lineRule="auto"/>
              <w:ind w:left="288" w:hanging="288"/>
              <w:contextualSpacing w:val="0"/>
              <w:rPr>
                <w:rFonts w:eastAsia="Times New Roman" w:cs="Arial"/>
                <w:sz w:val="20"/>
                <w:szCs w:val="20"/>
              </w:rPr>
            </w:pPr>
            <w:r w:rsidRPr="00C67B17">
              <w:rPr>
                <w:rFonts w:eastAsia="Times New Roman" w:cs="Arial"/>
                <w:sz w:val="20"/>
                <w:szCs w:val="20"/>
              </w:rPr>
              <w:t>Time period allowed and manner of discharging (off-loading) cargo</w:t>
            </w:r>
          </w:p>
          <w:p w:rsidR="008B17E9" w:rsidRPr="00C67B17" w:rsidRDefault="008B17E9" w:rsidP="00191B8E">
            <w:pPr>
              <w:pStyle w:val="ListParagraph"/>
              <w:numPr>
                <w:ilvl w:val="0"/>
                <w:numId w:val="5"/>
              </w:numPr>
              <w:tabs>
                <w:tab w:val="left" w:pos="-720"/>
              </w:tabs>
              <w:spacing w:before="0" w:after="0" w:line="252" w:lineRule="auto"/>
              <w:ind w:left="288" w:hanging="288"/>
              <w:contextualSpacing w:val="0"/>
              <w:rPr>
                <w:rFonts w:eastAsia="Times New Roman" w:cs="Arial"/>
                <w:sz w:val="20"/>
                <w:szCs w:val="20"/>
              </w:rPr>
            </w:pPr>
            <w:r w:rsidRPr="00C67B17">
              <w:rPr>
                <w:rFonts w:eastAsia="Times New Roman" w:cs="Arial"/>
                <w:sz w:val="20"/>
                <w:szCs w:val="20"/>
              </w:rPr>
              <w:t xml:space="preserve">Information on whether the consignee staff or agents may board vessels (if applicable) to inspect the holds.  In general, </w:t>
            </w:r>
            <w:r w:rsidR="00191B8E">
              <w:rPr>
                <w:rFonts w:eastAsia="Times New Roman" w:cs="Arial"/>
                <w:sz w:val="20"/>
                <w:szCs w:val="20"/>
              </w:rPr>
              <w:t>A</w:t>
            </w:r>
            <w:r w:rsidRPr="00C67B17">
              <w:rPr>
                <w:rFonts w:eastAsia="Times New Roman" w:cs="Arial"/>
                <w:sz w:val="20"/>
                <w:szCs w:val="20"/>
              </w:rPr>
              <w:t xml:space="preserve">wardee or </w:t>
            </w:r>
            <w:r w:rsidR="00191B8E">
              <w:rPr>
                <w:rFonts w:eastAsia="Times New Roman" w:cs="Arial"/>
                <w:sz w:val="20"/>
                <w:szCs w:val="20"/>
              </w:rPr>
              <w:t>A</w:t>
            </w:r>
            <w:r w:rsidR="00191B8E" w:rsidRPr="00C67B17">
              <w:rPr>
                <w:rFonts w:eastAsia="Times New Roman" w:cs="Arial"/>
                <w:sz w:val="20"/>
                <w:szCs w:val="20"/>
              </w:rPr>
              <w:t>wardee</w:t>
            </w:r>
            <w:r w:rsidR="00191B8E">
              <w:rPr>
                <w:rFonts w:eastAsia="Times New Roman" w:cs="Arial"/>
                <w:sz w:val="20"/>
                <w:szCs w:val="20"/>
              </w:rPr>
              <w:t>’</w:t>
            </w:r>
            <w:r w:rsidRPr="00C67B17">
              <w:rPr>
                <w:rFonts w:eastAsia="Times New Roman" w:cs="Arial"/>
                <w:sz w:val="20"/>
                <w:szCs w:val="20"/>
              </w:rPr>
              <w:t>s agent should be present as much as possible</w:t>
            </w:r>
          </w:p>
          <w:p w:rsidR="008B17E9" w:rsidRPr="00C67B17" w:rsidRDefault="008B17E9" w:rsidP="00191B8E">
            <w:pPr>
              <w:pStyle w:val="ListParagraph"/>
              <w:numPr>
                <w:ilvl w:val="0"/>
                <w:numId w:val="5"/>
              </w:numPr>
              <w:tabs>
                <w:tab w:val="left" w:pos="-720"/>
              </w:tabs>
              <w:spacing w:before="0" w:after="0" w:line="252" w:lineRule="auto"/>
              <w:ind w:left="288" w:hanging="288"/>
              <w:contextualSpacing w:val="0"/>
              <w:rPr>
                <w:rFonts w:eastAsia="Times New Roman" w:cs="Arial"/>
                <w:sz w:val="20"/>
                <w:szCs w:val="20"/>
              </w:rPr>
            </w:pPr>
            <w:r w:rsidRPr="00C67B17">
              <w:rPr>
                <w:rFonts w:eastAsia="Times New Roman" w:cs="Arial"/>
                <w:sz w:val="20"/>
                <w:szCs w:val="20"/>
              </w:rPr>
              <w:t>The party responsible for payment of handling charges</w:t>
            </w:r>
          </w:p>
          <w:p w:rsidR="008B17E9" w:rsidRPr="00C67B17" w:rsidRDefault="008B17E9" w:rsidP="00191B8E">
            <w:pPr>
              <w:pStyle w:val="ListParagraph"/>
              <w:numPr>
                <w:ilvl w:val="0"/>
                <w:numId w:val="5"/>
              </w:numPr>
              <w:tabs>
                <w:tab w:val="left" w:pos="-720"/>
              </w:tabs>
              <w:spacing w:before="0" w:after="60" w:line="252" w:lineRule="auto"/>
              <w:ind w:left="288" w:hanging="288"/>
              <w:contextualSpacing w:val="0"/>
              <w:rPr>
                <w:rFonts w:eastAsia="Times New Roman" w:cs="Arial"/>
                <w:sz w:val="20"/>
                <w:szCs w:val="20"/>
              </w:rPr>
            </w:pPr>
            <w:r w:rsidRPr="00C67B17">
              <w:rPr>
                <w:rFonts w:eastAsia="Times New Roman" w:cs="Arial"/>
                <w:sz w:val="20"/>
                <w:szCs w:val="20"/>
              </w:rPr>
              <w:t>The documents required from the shipping company</w:t>
            </w:r>
          </w:p>
        </w:tc>
      </w:tr>
      <w:tr w:rsidR="00191B8E" w:rsidRPr="008F550F" w:rsidTr="00370662">
        <w:tc>
          <w:tcPr>
            <w:tcW w:w="1890" w:type="dxa"/>
          </w:tcPr>
          <w:p w:rsidR="00191B8E" w:rsidRPr="00C67B17" w:rsidRDefault="00191B8E" w:rsidP="00494ECC">
            <w:pPr>
              <w:spacing w:before="60" w:after="60" w:line="252" w:lineRule="auto"/>
              <w:rPr>
                <w:b/>
                <w:sz w:val="20"/>
                <w:szCs w:val="20"/>
              </w:rPr>
            </w:pPr>
            <w:r w:rsidRPr="00C67B17">
              <w:rPr>
                <w:b/>
                <w:sz w:val="20"/>
                <w:szCs w:val="20"/>
              </w:rPr>
              <w:t xml:space="preserve">Shortlanding of </w:t>
            </w:r>
            <w:r w:rsidR="00494ECC">
              <w:rPr>
                <w:b/>
                <w:sz w:val="20"/>
                <w:szCs w:val="20"/>
              </w:rPr>
              <w:t>c</w:t>
            </w:r>
            <w:r w:rsidRPr="00C67B17">
              <w:rPr>
                <w:b/>
                <w:sz w:val="20"/>
                <w:szCs w:val="20"/>
              </w:rPr>
              <w:t>argo</w:t>
            </w:r>
          </w:p>
        </w:tc>
        <w:tc>
          <w:tcPr>
            <w:tcW w:w="7353" w:type="dxa"/>
          </w:tcPr>
          <w:p w:rsidR="00191B8E" w:rsidRPr="00C67B17" w:rsidRDefault="00191B8E" w:rsidP="00191B8E">
            <w:pPr>
              <w:autoSpaceDE w:val="0"/>
              <w:autoSpaceDN w:val="0"/>
              <w:adjustRightInd w:val="0"/>
              <w:spacing w:before="60" w:after="60" w:line="252" w:lineRule="auto"/>
              <w:rPr>
                <w:rFonts w:eastAsia="Times New Roman" w:cs="Arial"/>
                <w:b/>
                <w:bCs/>
                <w:sz w:val="20"/>
                <w:szCs w:val="20"/>
              </w:rPr>
            </w:pPr>
            <w:r w:rsidRPr="00C67B17">
              <w:rPr>
                <w:rFonts w:cs="Calibri"/>
                <w:sz w:val="20"/>
                <w:szCs w:val="20"/>
              </w:rPr>
              <w:t>The difference in the quantity of cargo loaded onto the vessel and the quantity actually discharged or del</w:t>
            </w:r>
            <w:r>
              <w:rPr>
                <w:rFonts w:cs="Calibri"/>
                <w:sz w:val="20"/>
                <w:szCs w:val="20"/>
              </w:rPr>
              <w:t xml:space="preserve">ivered at the receiving point. </w:t>
            </w:r>
            <w:r w:rsidRPr="00C67B17">
              <w:rPr>
                <w:rFonts w:cs="Calibri"/>
                <w:sz w:val="20"/>
                <w:szCs w:val="20"/>
              </w:rPr>
              <w:t>Claim to recover for loss of cargo due to shortlanding is vigorously pursued.</w:t>
            </w:r>
          </w:p>
        </w:tc>
      </w:tr>
      <w:tr w:rsidR="00191B8E" w:rsidRPr="008F550F" w:rsidTr="00370662">
        <w:tc>
          <w:tcPr>
            <w:tcW w:w="1890" w:type="dxa"/>
          </w:tcPr>
          <w:p w:rsidR="00191B8E" w:rsidRPr="00C67B17" w:rsidRDefault="00191B8E" w:rsidP="00191B8E">
            <w:pPr>
              <w:spacing w:before="60" w:after="60" w:line="252" w:lineRule="auto"/>
              <w:rPr>
                <w:b/>
                <w:sz w:val="20"/>
                <w:szCs w:val="20"/>
              </w:rPr>
            </w:pPr>
            <w:r>
              <w:rPr>
                <w:b/>
                <w:sz w:val="20"/>
                <w:szCs w:val="20"/>
              </w:rPr>
              <w:t>Spillage</w:t>
            </w:r>
          </w:p>
        </w:tc>
        <w:tc>
          <w:tcPr>
            <w:tcW w:w="7353" w:type="dxa"/>
          </w:tcPr>
          <w:p w:rsidR="00191B8E" w:rsidRPr="00C67B17" w:rsidRDefault="00191B8E" w:rsidP="00191B8E">
            <w:pPr>
              <w:tabs>
                <w:tab w:val="left" w:pos="-720"/>
              </w:tabs>
              <w:spacing w:before="60" w:after="60" w:line="252" w:lineRule="auto"/>
              <w:rPr>
                <w:rFonts w:eastAsia="Times New Roman" w:cs="Arial"/>
                <w:sz w:val="20"/>
                <w:szCs w:val="20"/>
              </w:rPr>
            </w:pPr>
            <w:r>
              <w:rPr>
                <w:rFonts w:eastAsia="Times New Roman" w:cs="Arial"/>
                <w:sz w:val="20"/>
                <w:szCs w:val="20"/>
              </w:rPr>
              <w:t>A</w:t>
            </w:r>
            <w:r w:rsidRPr="00DF7956">
              <w:rPr>
                <w:rFonts w:eastAsia="Times New Roman" w:cs="Arial"/>
                <w:sz w:val="20"/>
                <w:szCs w:val="20"/>
              </w:rPr>
              <w:t xml:space="preserve"> category in the USAID FFP QWICR online reporting system data entry field: Loss Reasons. This category refers to losses that have occurred because bags or tins have less weight than they should have.</w:t>
            </w:r>
          </w:p>
        </w:tc>
      </w:tr>
    </w:tbl>
    <w:p w:rsidR="00191B8E" w:rsidRDefault="00191B8E">
      <w:r>
        <w:br w:type="page"/>
      </w:r>
    </w:p>
    <w:tbl>
      <w:tblPr>
        <w:tblStyle w:val="TableGrid"/>
        <w:tblW w:w="0" w:type="auto"/>
        <w:tblLook w:val="04A0" w:firstRow="1" w:lastRow="0" w:firstColumn="1" w:lastColumn="0" w:noHBand="0" w:noVBand="1"/>
      </w:tblPr>
      <w:tblGrid>
        <w:gridCol w:w="1890"/>
        <w:gridCol w:w="7353"/>
      </w:tblGrid>
      <w:tr w:rsidR="00191B8E" w:rsidRPr="008F550F" w:rsidTr="00370662">
        <w:tc>
          <w:tcPr>
            <w:tcW w:w="1890" w:type="dxa"/>
          </w:tcPr>
          <w:p w:rsidR="00191B8E" w:rsidRPr="00C67B17" w:rsidRDefault="00191B8E" w:rsidP="00191B8E">
            <w:pPr>
              <w:spacing w:before="60" w:after="60" w:line="252" w:lineRule="auto"/>
              <w:rPr>
                <w:b/>
                <w:sz w:val="20"/>
                <w:szCs w:val="20"/>
              </w:rPr>
            </w:pPr>
            <w:r w:rsidRPr="00C67B17">
              <w:rPr>
                <w:b/>
                <w:sz w:val="20"/>
                <w:szCs w:val="20"/>
              </w:rPr>
              <w:lastRenderedPageBreak/>
              <w:t>Stack card</w:t>
            </w:r>
          </w:p>
        </w:tc>
        <w:tc>
          <w:tcPr>
            <w:tcW w:w="7353" w:type="dxa"/>
          </w:tcPr>
          <w:p w:rsidR="00191B8E" w:rsidRPr="00C67B17" w:rsidRDefault="00191B8E" w:rsidP="00494ECC">
            <w:pPr>
              <w:tabs>
                <w:tab w:val="left" w:pos="-720"/>
              </w:tabs>
              <w:spacing w:before="60" w:after="60" w:line="252" w:lineRule="auto"/>
              <w:rPr>
                <w:rFonts w:eastAsia="Times New Roman" w:cs="Arial"/>
                <w:sz w:val="20"/>
                <w:szCs w:val="20"/>
              </w:rPr>
            </w:pPr>
            <w:r w:rsidRPr="00C67B17">
              <w:rPr>
                <w:rFonts w:eastAsia="Times New Roman" w:cs="Arial"/>
                <w:sz w:val="20"/>
                <w:szCs w:val="20"/>
              </w:rPr>
              <w:t xml:space="preserve">Cards recording the receipt and dispatches of inventory on and off the stack to which they are attached. The stack card allows warehouse staff to </w:t>
            </w:r>
            <w:r w:rsidR="00494ECC">
              <w:rPr>
                <w:rFonts w:eastAsia="Times New Roman" w:cs="Arial"/>
                <w:sz w:val="20"/>
                <w:szCs w:val="20"/>
              </w:rPr>
              <w:t xml:space="preserve">quickly </w:t>
            </w:r>
            <w:r w:rsidRPr="00C67B17">
              <w:rPr>
                <w:rFonts w:eastAsia="Times New Roman" w:cs="Arial"/>
                <w:sz w:val="20"/>
                <w:szCs w:val="20"/>
              </w:rPr>
              <w:t>assess balances without having to physically count the commodity.</w:t>
            </w:r>
          </w:p>
        </w:tc>
      </w:tr>
      <w:tr w:rsidR="00494ECC" w:rsidRPr="008F550F" w:rsidTr="00370662">
        <w:tc>
          <w:tcPr>
            <w:tcW w:w="1890" w:type="dxa"/>
          </w:tcPr>
          <w:p w:rsidR="00494ECC" w:rsidRPr="00C67B17" w:rsidRDefault="00494ECC" w:rsidP="00494ECC">
            <w:pPr>
              <w:spacing w:before="60" w:after="60" w:line="252" w:lineRule="auto"/>
              <w:rPr>
                <w:b/>
                <w:bCs/>
                <w:sz w:val="20"/>
                <w:szCs w:val="20"/>
              </w:rPr>
            </w:pPr>
            <w:r w:rsidRPr="00C67B17">
              <w:rPr>
                <w:b/>
                <w:bCs/>
                <w:sz w:val="20"/>
                <w:szCs w:val="20"/>
              </w:rPr>
              <w:t xml:space="preserve">Standard </w:t>
            </w:r>
            <w:r>
              <w:rPr>
                <w:b/>
                <w:bCs/>
                <w:sz w:val="20"/>
                <w:szCs w:val="20"/>
              </w:rPr>
              <w:t>o</w:t>
            </w:r>
            <w:r w:rsidRPr="00C67B17">
              <w:rPr>
                <w:b/>
                <w:bCs/>
                <w:sz w:val="20"/>
                <w:szCs w:val="20"/>
              </w:rPr>
              <w:t xml:space="preserve">perating </w:t>
            </w:r>
            <w:r>
              <w:rPr>
                <w:b/>
                <w:bCs/>
                <w:sz w:val="20"/>
                <w:szCs w:val="20"/>
              </w:rPr>
              <w:t>p</w:t>
            </w:r>
            <w:r w:rsidRPr="00C67B17">
              <w:rPr>
                <w:b/>
                <w:bCs/>
                <w:sz w:val="20"/>
                <w:szCs w:val="20"/>
              </w:rPr>
              <w:t>rocedures</w:t>
            </w:r>
          </w:p>
        </w:tc>
        <w:tc>
          <w:tcPr>
            <w:tcW w:w="7353" w:type="dxa"/>
          </w:tcPr>
          <w:p w:rsidR="00494ECC" w:rsidRPr="00C67B17" w:rsidRDefault="00494ECC" w:rsidP="00494ECC">
            <w:pPr>
              <w:tabs>
                <w:tab w:val="left" w:pos="-720"/>
              </w:tabs>
              <w:spacing w:before="60" w:after="60" w:line="252" w:lineRule="auto"/>
              <w:rPr>
                <w:sz w:val="20"/>
                <w:szCs w:val="20"/>
              </w:rPr>
            </w:pPr>
            <w:r w:rsidRPr="00C67B17">
              <w:rPr>
                <w:sz w:val="20"/>
                <w:szCs w:val="20"/>
              </w:rPr>
              <w:t>A set of step-by-step instructions created to help staff carry out routine operations. The</w:t>
            </w:r>
            <w:r>
              <w:rPr>
                <w:sz w:val="20"/>
                <w:szCs w:val="20"/>
              </w:rPr>
              <w:t xml:space="preserve"> </w:t>
            </w:r>
            <w:r w:rsidRPr="00C67B17">
              <w:rPr>
                <w:sz w:val="20"/>
                <w:szCs w:val="20"/>
              </w:rPr>
              <w:t xml:space="preserve">purpose </w:t>
            </w:r>
            <w:r>
              <w:rPr>
                <w:sz w:val="20"/>
                <w:szCs w:val="20"/>
              </w:rPr>
              <w:t xml:space="preserve">of SOPs </w:t>
            </w:r>
            <w:r w:rsidRPr="00C67B17">
              <w:rPr>
                <w:sz w:val="20"/>
                <w:szCs w:val="20"/>
              </w:rPr>
              <w:t xml:space="preserve">is to achieve efficiency and </w:t>
            </w:r>
            <w:r w:rsidRPr="00C67B17">
              <w:rPr>
                <w:rStyle w:val="st"/>
                <w:sz w:val="20"/>
                <w:szCs w:val="20"/>
              </w:rPr>
              <w:t>consistent quality output</w:t>
            </w:r>
            <w:r w:rsidRPr="00C67B17">
              <w:rPr>
                <w:sz w:val="20"/>
                <w:szCs w:val="20"/>
              </w:rPr>
              <w:t>.</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bCs/>
                <w:sz w:val="20"/>
                <w:szCs w:val="20"/>
              </w:rPr>
              <w:t>Sub</w:t>
            </w:r>
            <w:r>
              <w:rPr>
                <w:b/>
                <w:bCs/>
                <w:sz w:val="20"/>
                <w:szCs w:val="20"/>
              </w:rPr>
              <w:t>-A</w:t>
            </w:r>
            <w:r w:rsidRPr="00C67B17">
              <w:rPr>
                <w:b/>
                <w:bCs/>
                <w:sz w:val="20"/>
                <w:szCs w:val="20"/>
              </w:rPr>
              <w:t>ward</w:t>
            </w:r>
          </w:p>
        </w:tc>
        <w:tc>
          <w:tcPr>
            <w:tcW w:w="7353" w:type="dxa"/>
          </w:tcPr>
          <w:p w:rsidR="00494ECC" w:rsidRPr="00C67B17" w:rsidRDefault="00494ECC" w:rsidP="00494ECC">
            <w:pPr>
              <w:spacing w:before="60" w:after="60" w:line="252" w:lineRule="auto"/>
              <w:rPr>
                <w:sz w:val="20"/>
                <w:szCs w:val="20"/>
              </w:rPr>
            </w:pPr>
            <w:r w:rsidRPr="00C67B17">
              <w:rPr>
                <w:sz w:val="20"/>
                <w:szCs w:val="20"/>
              </w:rPr>
              <w:t>Funding issued to an organization through an intermediary that manages th</w:t>
            </w:r>
            <w:r>
              <w:rPr>
                <w:sz w:val="20"/>
                <w:szCs w:val="20"/>
              </w:rPr>
              <w:t>e funds for the original funder</w:t>
            </w:r>
          </w:p>
        </w:tc>
      </w:tr>
      <w:tr w:rsidR="00494ECC" w:rsidRPr="008F550F" w:rsidTr="00370662">
        <w:tc>
          <w:tcPr>
            <w:tcW w:w="1890" w:type="dxa"/>
          </w:tcPr>
          <w:p w:rsidR="00494ECC" w:rsidRPr="00C67B17" w:rsidRDefault="00494ECC" w:rsidP="00494ECC">
            <w:pPr>
              <w:spacing w:before="60" w:after="60" w:line="252" w:lineRule="auto"/>
              <w:rPr>
                <w:b/>
                <w:bCs/>
                <w:sz w:val="20"/>
                <w:szCs w:val="20"/>
              </w:rPr>
            </w:pPr>
            <w:r w:rsidRPr="00C67B17">
              <w:rPr>
                <w:b/>
                <w:bCs/>
                <w:sz w:val="20"/>
                <w:szCs w:val="20"/>
              </w:rPr>
              <w:t>Sub</w:t>
            </w:r>
            <w:r>
              <w:rPr>
                <w:b/>
                <w:bCs/>
                <w:sz w:val="20"/>
                <w:szCs w:val="20"/>
              </w:rPr>
              <w:t>-</w:t>
            </w:r>
            <w:r w:rsidRPr="00C67B17">
              <w:rPr>
                <w:b/>
                <w:bCs/>
                <w:sz w:val="20"/>
                <w:szCs w:val="20"/>
              </w:rPr>
              <w:t>recipient (or “</w:t>
            </w:r>
            <w:r>
              <w:rPr>
                <w:b/>
                <w:bCs/>
                <w:sz w:val="20"/>
                <w:szCs w:val="20"/>
              </w:rPr>
              <w:t>s</w:t>
            </w:r>
            <w:r w:rsidRPr="00C67B17">
              <w:rPr>
                <w:b/>
                <w:bCs/>
                <w:sz w:val="20"/>
                <w:szCs w:val="20"/>
              </w:rPr>
              <w:t>ub”)</w:t>
            </w:r>
          </w:p>
        </w:tc>
        <w:tc>
          <w:tcPr>
            <w:tcW w:w="7353" w:type="dxa"/>
          </w:tcPr>
          <w:p w:rsidR="00494ECC" w:rsidRPr="00C67B17" w:rsidRDefault="00494ECC" w:rsidP="00494ECC">
            <w:pPr>
              <w:spacing w:before="60" w:after="60" w:line="252" w:lineRule="auto"/>
              <w:rPr>
                <w:sz w:val="20"/>
                <w:szCs w:val="20"/>
              </w:rPr>
            </w:pPr>
            <w:r w:rsidRPr="00C67B17">
              <w:rPr>
                <w:sz w:val="20"/>
                <w:szCs w:val="20"/>
              </w:rPr>
              <w:t>An organization receiving financial assistance to carry out an activity or program through a primary recipient (or other sub</w:t>
            </w:r>
            <w:r>
              <w:rPr>
                <w:sz w:val="20"/>
                <w:szCs w:val="20"/>
              </w:rPr>
              <w:t>-</w:t>
            </w:r>
            <w:r w:rsidRPr="00C67B17">
              <w:rPr>
                <w:sz w:val="20"/>
                <w:szCs w:val="20"/>
              </w:rPr>
              <w:t>recipient). See also</w:t>
            </w:r>
            <w:r>
              <w:rPr>
                <w:sz w:val="20"/>
                <w:szCs w:val="20"/>
              </w:rPr>
              <w:t>:</w:t>
            </w:r>
            <w:r w:rsidRPr="00C67B17">
              <w:rPr>
                <w:sz w:val="20"/>
                <w:szCs w:val="20"/>
              </w:rPr>
              <w:t xml:space="preserve"> </w:t>
            </w:r>
            <w:r w:rsidRPr="00494ECC">
              <w:rPr>
                <w:b/>
                <w:sz w:val="20"/>
                <w:szCs w:val="20"/>
              </w:rPr>
              <w:t>Recipient</w:t>
            </w:r>
            <w:r w:rsidRPr="00C67B17">
              <w:rPr>
                <w:sz w:val="20"/>
                <w:szCs w:val="20"/>
              </w:rPr>
              <w:t>.</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sz w:val="20"/>
                <w:szCs w:val="20"/>
              </w:rPr>
              <w:t xml:space="preserve">Subject to </w:t>
            </w:r>
            <w:r>
              <w:rPr>
                <w:b/>
                <w:sz w:val="20"/>
                <w:szCs w:val="20"/>
              </w:rPr>
              <w:t>a</w:t>
            </w:r>
            <w:r w:rsidRPr="00C67B17">
              <w:rPr>
                <w:b/>
                <w:sz w:val="20"/>
                <w:szCs w:val="20"/>
              </w:rPr>
              <w:t>vailability</w:t>
            </w:r>
          </w:p>
        </w:tc>
        <w:tc>
          <w:tcPr>
            <w:tcW w:w="7353" w:type="dxa"/>
          </w:tcPr>
          <w:p w:rsidR="00494ECC" w:rsidRPr="00C67B17" w:rsidRDefault="00494ECC" w:rsidP="00494ECC">
            <w:pPr>
              <w:tabs>
                <w:tab w:val="left" w:pos="-720"/>
              </w:tabs>
              <w:spacing w:before="60" w:after="60" w:line="252" w:lineRule="auto"/>
              <w:rPr>
                <w:rFonts w:eastAsia="Times New Roman" w:cs="Arial"/>
                <w:b/>
                <w:sz w:val="20"/>
                <w:szCs w:val="20"/>
              </w:rPr>
            </w:pPr>
            <w:r w:rsidRPr="00C67B17">
              <w:rPr>
                <w:rFonts w:eastAsia="Times New Roman" w:cs="Arial"/>
                <w:sz w:val="20"/>
                <w:szCs w:val="20"/>
              </w:rPr>
              <w:t xml:space="preserve">Each year the FFP agreement providing commodities to an Awardee is subject to the availability of funding to purchase the commodities (which depends on the annual appropriations) and the availability of agricultural commodities in the </w:t>
            </w:r>
            <w:r>
              <w:rPr>
                <w:rFonts w:eastAsia="Times New Roman" w:cs="Arial"/>
                <w:sz w:val="20"/>
                <w:szCs w:val="20"/>
              </w:rPr>
              <w:t xml:space="preserve">U.S. for purchase by the USDA. </w:t>
            </w:r>
            <w:r w:rsidRPr="00C67B17">
              <w:rPr>
                <w:rFonts w:eastAsia="Times New Roman" w:cs="Arial"/>
                <w:sz w:val="20"/>
                <w:szCs w:val="20"/>
              </w:rPr>
              <w:t>The USDA provides an annual list of the types of commodities and tonnages available for Title II programs for the upcoming year.</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bCs/>
                <w:sz w:val="20"/>
                <w:szCs w:val="20"/>
              </w:rPr>
              <w:t>Swap</w:t>
            </w:r>
          </w:p>
        </w:tc>
        <w:tc>
          <w:tcPr>
            <w:tcW w:w="7353" w:type="dxa"/>
          </w:tcPr>
          <w:p w:rsidR="00494ECC" w:rsidRPr="00C67B17" w:rsidRDefault="00494ECC" w:rsidP="00494ECC">
            <w:pPr>
              <w:tabs>
                <w:tab w:val="left" w:pos="-720"/>
              </w:tabs>
              <w:spacing w:before="60" w:after="60" w:line="252" w:lineRule="auto"/>
              <w:rPr>
                <w:bCs/>
                <w:sz w:val="20"/>
                <w:szCs w:val="20"/>
              </w:rPr>
            </w:pPr>
            <w:r w:rsidRPr="00C67B17">
              <w:rPr>
                <w:bCs/>
                <w:sz w:val="20"/>
                <w:szCs w:val="20"/>
              </w:rPr>
              <w:t>Commodity of one type (e.g.</w:t>
            </w:r>
            <w:r>
              <w:rPr>
                <w:bCs/>
                <w:sz w:val="20"/>
                <w:szCs w:val="20"/>
              </w:rPr>
              <w:t>,</w:t>
            </w:r>
            <w:r w:rsidRPr="00C67B17">
              <w:rPr>
                <w:bCs/>
                <w:sz w:val="20"/>
                <w:szCs w:val="20"/>
              </w:rPr>
              <w:t xml:space="preserve"> maize) is exchanged for commodity of another type (e.g.</w:t>
            </w:r>
            <w:r>
              <w:rPr>
                <w:bCs/>
                <w:sz w:val="20"/>
                <w:szCs w:val="20"/>
              </w:rPr>
              <w:t xml:space="preserve">, wheat). </w:t>
            </w:r>
            <w:r w:rsidRPr="00C67B17">
              <w:rPr>
                <w:bCs/>
                <w:sz w:val="20"/>
                <w:szCs w:val="20"/>
              </w:rPr>
              <w:t>With donor approval, swaps may be arranged with private local suppliers.</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bCs/>
                <w:sz w:val="20"/>
                <w:szCs w:val="20"/>
              </w:rPr>
              <w:t>Targeting</w:t>
            </w:r>
          </w:p>
        </w:tc>
        <w:tc>
          <w:tcPr>
            <w:tcW w:w="7353" w:type="dxa"/>
          </w:tcPr>
          <w:p w:rsidR="00494ECC" w:rsidRPr="00C67B17" w:rsidRDefault="00494ECC" w:rsidP="00494ECC">
            <w:pPr>
              <w:tabs>
                <w:tab w:val="left" w:pos="-720"/>
              </w:tabs>
              <w:spacing w:before="60" w:after="60" w:line="252" w:lineRule="auto"/>
              <w:rPr>
                <w:bCs/>
                <w:sz w:val="20"/>
                <w:szCs w:val="20"/>
              </w:rPr>
            </w:pPr>
            <w:r w:rsidRPr="00C67B17">
              <w:rPr>
                <w:bCs/>
                <w:sz w:val="20"/>
                <w:szCs w:val="20"/>
              </w:rPr>
              <w:t>The means by which those eligible to receive distributions of commodities are distinguished from others in the population. Targeting is based on e</w:t>
            </w:r>
            <w:r w:rsidRPr="00C67B17">
              <w:rPr>
                <w:sz w:val="20"/>
                <w:szCs w:val="20"/>
              </w:rPr>
              <w:t>ligibility criteria: one or more indicators (usually demographic or socio-economic) that have been previously defined for the purpose of identifying specific regions, areas, communities, households</w:t>
            </w:r>
            <w:r>
              <w:rPr>
                <w:sz w:val="20"/>
                <w:szCs w:val="20"/>
              </w:rPr>
              <w:t>,</w:t>
            </w:r>
            <w:r w:rsidRPr="00C67B17">
              <w:rPr>
                <w:sz w:val="20"/>
                <w:szCs w:val="20"/>
              </w:rPr>
              <w:t xml:space="preserve"> or individuals most in need.</w:t>
            </w:r>
          </w:p>
        </w:tc>
      </w:tr>
      <w:tr w:rsidR="00494ECC" w:rsidRPr="008F550F" w:rsidTr="00511808">
        <w:tc>
          <w:tcPr>
            <w:tcW w:w="1890" w:type="dxa"/>
            <w:tcBorders>
              <w:bottom w:val="single" w:sz="4" w:space="0" w:color="auto"/>
            </w:tcBorders>
          </w:tcPr>
          <w:p w:rsidR="00494ECC" w:rsidRPr="00C67B17" w:rsidRDefault="00494ECC" w:rsidP="00494ECC">
            <w:pPr>
              <w:spacing w:before="60" w:after="60" w:line="252" w:lineRule="auto"/>
              <w:rPr>
                <w:b/>
                <w:sz w:val="20"/>
                <w:szCs w:val="20"/>
              </w:rPr>
            </w:pPr>
            <w:r w:rsidRPr="00C67B17">
              <w:rPr>
                <w:b/>
                <w:bCs/>
                <w:sz w:val="20"/>
                <w:szCs w:val="20"/>
              </w:rPr>
              <w:t>Tariff</w:t>
            </w:r>
          </w:p>
        </w:tc>
        <w:tc>
          <w:tcPr>
            <w:tcW w:w="7353" w:type="dxa"/>
            <w:tcBorders>
              <w:bottom w:val="single" w:sz="4" w:space="0" w:color="auto"/>
            </w:tcBorders>
          </w:tcPr>
          <w:p w:rsidR="00494ECC" w:rsidRPr="00C67B17" w:rsidRDefault="00494ECC" w:rsidP="00494ECC">
            <w:pPr>
              <w:tabs>
                <w:tab w:val="left" w:pos="-720"/>
              </w:tabs>
              <w:spacing w:before="60" w:after="60" w:line="252" w:lineRule="auto"/>
              <w:rPr>
                <w:b/>
                <w:sz w:val="20"/>
                <w:szCs w:val="20"/>
              </w:rPr>
            </w:pPr>
            <w:r w:rsidRPr="00C67B17">
              <w:rPr>
                <w:sz w:val="20"/>
                <w:szCs w:val="20"/>
              </w:rPr>
              <w:t>A general term for any listing of rates or charges.  T</w:t>
            </w:r>
            <w:r>
              <w:rPr>
                <w:sz w:val="20"/>
                <w:szCs w:val="20"/>
              </w:rPr>
              <w:t>he</w:t>
            </w:r>
            <w:r w:rsidRPr="00C67B17">
              <w:rPr>
                <w:sz w:val="20"/>
                <w:szCs w:val="20"/>
              </w:rPr>
              <w:t xml:space="preserve"> most frequently encountered </w:t>
            </w:r>
            <w:r>
              <w:rPr>
                <w:sz w:val="20"/>
                <w:szCs w:val="20"/>
              </w:rPr>
              <w:t xml:space="preserve">tariffs </w:t>
            </w:r>
            <w:r w:rsidRPr="00C67B17">
              <w:rPr>
                <w:sz w:val="20"/>
                <w:szCs w:val="20"/>
              </w:rPr>
              <w:t xml:space="preserve">are: tariffs of international transportation companies operating on sea, land, and air; and the customs tariffs of countries that list </w:t>
            </w:r>
            <w:r>
              <w:rPr>
                <w:sz w:val="20"/>
                <w:szCs w:val="20"/>
              </w:rPr>
              <w:t xml:space="preserve">duty-free </w:t>
            </w:r>
            <w:r w:rsidRPr="00C67B17">
              <w:rPr>
                <w:sz w:val="20"/>
                <w:szCs w:val="20"/>
              </w:rPr>
              <w:t xml:space="preserve">goods and </w:t>
            </w:r>
            <w:r>
              <w:rPr>
                <w:sz w:val="20"/>
                <w:szCs w:val="20"/>
              </w:rPr>
              <w:t>goods</w:t>
            </w:r>
            <w:r w:rsidRPr="00C67B17">
              <w:rPr>
                <w:sz w:val="20"/>
                <w:szCs w:val="20"/>
              </w:rPr>
              <w:t xml:space="preserve"> subject to import duty, giving the rate of duty in each case. </w:t>
            </w:r>
          </w:p>
        </w:tc>
      </w:tr>
      <w:tr w:rsidR="00494ECC" w:rsidRPr="008F550F" w:rsidTr="00511808">
        <w:tc>
          <w:tcPr>
            <w:tcW w:w="1890" w:type="dxa"/>
            <w:tcBorders>
              <w:bottom w:val="single" w:sz="4" w:space="0" w:color="auto"/>
            </w:tcBorders>
          </w:tcPr>
          <w:p w:rsidR="00494ECC" w:rsidRPr="00C67B17" w:rsidRDefault="00494ECC" w:rsidP="00BC3207">
            <w:pPr>
              <w:spacing w:before="60" w:after="60" w:line="252" w:lineRule="auto"/>
              <w:rPr>
                <w:b/>
                <w:sz w:val="20"/>
                <w:szCs w:val="20"/>
              </w:rPr>
            </w:pPr>
            <w:r w:rsidRPr="00C67B17">
              <w:rPr>
                <w:b/>
                <w:sz w:val="20"/>
                <w:szCs w:val="20"/>
              </w:rPr>
              <w:t xml:space="preserve">Through </w:t>
            </w:r>
            <w:r w:rsidR="00BC3207">
              <w:rPr>
                <w:b/>
                <w:sz w:val="20"/>
                <w:szCs w:val="20"/>
              </w:rPr>
              <w:t>b</w:t>
            </w:r>
            <w:r w:rsidRPr="00C67B17">
              <w:rPr>
                <w:b/>
                <w:sz w:val="20"/>
                <w:szCs w:val="20"/>
              </w:rPr>
              <w:t xml:space="preserve">ill of </w:t>
            </w:r>
            <w:r w:rsidR="00BC3207">
              <w:rPr>
                <w:b/>
                <w:sz w:val="20"/>
                <w:szCs w:val="20"/>
              </w:rPr>
              <w:t>l</w:t>
            </w:r>
            <w:r w:rsidRPr="00C67B17">
              <w:rPr>
                <w:b/>
                <w:sz w:val="20"/>
                <w:szCs w:val="20"/>
              </w:rPr>
              <w:t>ading</w:t>
            </w:r>
          </w:p>
        </w:tc>
        <w:tc>
          <w:tcPr>
            <w:tcW w:w="7353" w:type="dxa"/>
            <w:tcBorders>
              <w:bottom w:val="single" w:sz="4" w:space="0" w:color="auto"/>
            </w:tcBorders>
          </w:tcPr>
          <w:p w:rsidR="00494ECC" w:rsidRPr="00C67B17" w:rsidRDefault="00494ECC" w:rsidP="00BC3207">
            <w:pPr>
              <w:tabs>
                <w:tab w:val="left" w:pos="-720"/>
              </w:tabs>
              <w:spacing w:before="60" w:after="60" w:line="252" w:lineRule="auto"/>
              <w:rPr>
                <w:sz w:val="20"/>
                <w:szCs w:val="20"/>
              </w:rPr>
            </w:pPr>
            <w:r w:rsidRPr="00C67B17">
              <w:rPr>
                <w:sz w:val="20"/>
                <w:szCs w:val="20"/>
              </w:rPr>
              <w:t>A “regular” B/L is the legal document used by shipping companies to define the terms and conditions under which they accept cargo. A through B/L allows (with local government permission) internationally procured goods to be delivered to an inland d</w:t>
            </w:r>
            <w:r w:rsidR="006835D4">
              <w:rPr>
                <w:sz w:val="20"/>
                <w:szCs w:val="20"/>
              </w:rPr>
              <w:t xml:space="preserve">estination prior to clearance. </w:t>
            </w:r>
          </w:p>
        </w:tc>
      </w:tr>
      <w:tr w:rsidR="00494ECC" w:rsidRPr="008F550F" w:rsidTr="00511808">
        <w:tc>
          <w:tcPr>
            <w:tcW w:w="1890" w:type="dxa"/>
            <w:tcBorders>
              <w:top w:val="single" w:sz="4" w:space="0" w:color="auto"/>
            </w:tcBorders>
          </w:tcPr>
          <w:p w:rsidR="00494ECC" w:rsidRPr="00C67B17" w:rsidRDefault="00494ECC" w:rsidP="00494ECC">
            <w:pPr>
              <w:spacing w:before="60" w:after="60" w:line="252" w:lineRule="auto"/>
              <w:rPr>
                <w:b/>
                <w:sz w:val="20"/>
                <w:szCs w:val="20"/>
              </w:rPr>
            </w:pPr>
            <w:r w:rsidRPr="00C67B17">
              <w:rPr>
                <w:b/>
                <w:bCs/>
                <w:sz w:val="20"/>
                <w:szCs w:val="20"/>
              </w:rPr>
              <w:t>Tolerance</w:t>
            </w:r>
          </w:p>
        </w:tc>
        <w:tc>
          <w:tcPr>
            <w:tcW w:w="7353" w:type="dxa"/>
            <w:tcBorders>
              <w:top w:val="single" w:sz="4" w:space="0" w:color="auto"/>
            </w:tcBorders>
          </w:tcPr>
          <w:p w:rsidR="00C700F8" w:rsidRPr="00C700F8" w:rsidRDefault="00C700F8" w:rsidP="00C700F8">
            <w:pPr>
              <w:spacing w:before="60" w:after="60" w:line="252" w:lineRule="auto"/>
              <w:rPr>
                <w:rFonts w:ascii="Calibri" w:eastAsia="Calibri" w:hAnsi="Calibri" w:cs="Calibri"/>
              </w:rPr>
            </w:pPr>
            <w:r w:rsidRPr="00C700F8">
              <w:rPr>
                <w:sz w:val="20"/>
                <w:szCs w:val="20"/>
              </w:rPr>
              <w:t>The allowable amount of variation (plus or minus) in the quantity of commodity delivered by USDA compared to the quantity requested by the Awardee on the call forward</w:t>
            </w:r>
            <w:r>
              <w:rPr>
                <w:sz w:val="20"/>
                <w:szCs w:val="20"/>
              </w:rPr>
              <w:t xml:space="preserve">. </w:t>
            </w:r>
            <w:r w:rsidRPr="00C700F8">
              <w:rPr>
                <w:sz w:val="20"/>
                <w:szCs w:val="20"/>
              </w:rPr>
              <w:t xml:space="preserve">At the point of title transfer from USDA to the Awardee, the quantity delivered must be within a tolerance of 5 percent for shipments below 10,000 MT and 2 percent for shipments over 10,000 MT. </w:t>
            </w:r>
            <w:r w:rsidRPr="00C67B17">
              <w:rPr>
                <w:sz w:val="20"/>
                <w:szCs w:val="20"/>
              </w:rPr>
              <w:t>Such amounts are regarded by the U</w:t>
            </w:r>
            <w:r>
              <w:rPr>
                <w:sz w:val="20"/>
                <w:szCs w:val="20"/>
              </w:rPr>
              <w:t xml:space="preserve">SDA as completion of delivery. </w:t>
            </w:r>
            <w:r w:rsidRPr="00C67B17">
              <w:rPr>
                <w:sz w:val="20"/>
                <w:szCs w:val="20"/>
              </w:rPr>
              <w:t xml:space="preserve">There is no tolerance allowed with respect to the ocean </w:t>
            </w:r>
            <w:r w:rsidRPr="00C700F8">
              <w:rPr>
                <w:sz w:val="20"/>
                <w:szCs w:val="20"/>
              </w:rPr>
              <w:t>carrier’s responsibility to deliver the entire cargo loaded as cited on the bill of lading</w:t>
            </w:r>
            <w:r w:rsidRPr="00C700F8">
              <w:rPr>
                <w:sz w:val="20"/>
                <w:szCs w:val="20"/>
              </w:rPr>
              <w:t xml:space="preserve">, </w:t>
            </w:r>
            <w:r w:rsidRPr="00C700F8">
              <w:rPr>
                <w:rFonts w:ascii="Calibri" w:eastAsia="Calibri" w:hAnsi="Calibri" w:cs="Calibri"/>
                <w:sz w:val="20"/>
                <w:szCs w:val="20"/>
              </w:rPr>
              <w:t>nor for internal transporters to deliver the entire cargo stated on the waybill.</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sz w:val="20"/>
                <w:szCs w:val="20"/>
              </w:rPr>
              <w:t>Transfer (of commodity)</w:t>
            </w:r>
          </w:p>
        </w:tc>
        <w:tc>
          <w:tcPr>
            <w:tcW w:w="7353" w:type="dxa"/>
          </w:tcPr>
          <w:p w:rsidR="00494ECC" w:rsidRPr="00C67B17" w:rsidRDefault="00494ECC" w:rsidP="00792A85">
            <w:pPr>
              <w:tabs>
                <w:tab w:val="left" w:pos="-720"/>
              </w:tabs>
              <w:spacing w:before="60" w:after="60" w:line="252" w:lineRule="auto"/>
              <w:rPr>
                <w:rFonts w:eastAsia="Times New Roman" w:cs="Arial"/>
                <w:b/>
                <w:sz w:val="20"/>
                <w:szCs w:val="20"/>
              </w:rPr>
            </w:pPr>
            <w:r w:rsidRPr="00C67B17">
              <w:rPr>
                <w:sz w:val="20"/>
                <w:szCs w:val="20"/>
              </w:rPr>
              <w:t>A commodity allocated to one approved Title II program is used by another approved Title II program. In addition to meeting emergency needs or temporary shortages due to delays in ocean transportation, transfers may be used to improve efficiency of operation, such as to rapidly distribute stoc</w:t>
            </w:r>
            <w:r w:rsidR="00792A85">
              <w:rPr>
                <w:sz w:val="20"/>
                <w:szCs w:val="20"/>
              </w:rPr>
              <w:t>ks in danger of deterioration. T</w:t>
            </w:r>
            <w:r w:rsidR="00792A85" w:rsidRPr="00C67B17">
              <w:rPr>
                <w:sz w:val="20"/>
                <w:szCs w:val="20"/>
              </w:rPr>
              <w:t xml:space="preserve">he U.S. Government </w:t>
            </w:r>
            <w:r w:rsidR="00792A85">
              <w:rPr>
                <w:sz w:val="20"/>
                <w:szCs w:val="20"/>
              </w:rPr>
              <w:t>does not replace c</w:t>
            </w:r>
            <w:r w:rsidRPr="00C67B17">
              <w:rPr>
                <w:sz w:val="20"/>
                <w:szCs w:val="20"/>
              </w:rPr>
              <w:t>ommodities transferred between programs unless USAID authorizes such replacement.</w:t>
            </w:r>
          </w:p>
        </w:tc>
      </w:tr>
      <w:tr w:rsidR="00494ECC" w:rsidRPr="008F550F" w:rsidTr="00370662">
        <w:tc>
          <w:tcPr>
            <w:tcW w:w="1890" w:type="dxa"/>
          </w:tcPr>
          <w:p w:rsidR="00494ECC" w:rsidRPr="00C67B17" w:rsidRDefault="00494ECC" w:rsidP="00792A85">
            <w:pPr>
              <w:spacing w:before="60" w:after="60" w:line="252" w:lineRule="auto"/>
              <w:rPr>
                <w:b/>
                <w:sz w:val="20"/>
                <w:szCs w:val="20"/>
              </w:rPr>
            </w:pPr>
            <w:r w:rsidRPr="00C67B17">
              <w:rPr>
                <w:b/>
                <w:sz w:val="20"/>
                <w:szCs w:val="20"/>
              </w:rPr>
              <w:t xml:space="preserve">Transfer </w:t>
            </w:r>
            <w:r w:rsidR="00792A85">
              <w:rPr>
                <w:b/>
                <w:sz w:val="20"/>
                <w:szCs w:val="20"/>
              </w:rPr>
              <w:t>a</w:t>
            </w:r>
            <w:r w:rsidRPr="00C67B17">
              <w:rPr>
                <w:b/>
                <w:sz w:val="20"/>
                <w:szCs w:val="20"/>
              </w:rPr>
              <w:t>uthorization (TA)</w:t>
            </w:r>
          </w:p>
        </w:tc>
        <w:tc>
          <w:tcPr>
            <w:tcW w:w="7353" w:type="dxa"/>
          </w:tcPr>
          <w:p w:rsidR="00494ECC" w:rsidRPr="00C67B17" w:rsidRDefault="00494ECC" w:rsidP="00494ECC">
            <w:pPr>
              <w:tabs>
                <w:tab w:val="left" w:pos="-720"/>
              </w:tabs>
              <w:spacing w:before="60" w:after="60" w:line="252" w:lineRule="auto"/>
              <w:rPr>
                <w:rFonts w:eastAsia="Times New Roman" w:cs="Arial"/>
                <w:sz w:val="20"/>
                <w:szCs w:val="20"/>
              </w:rPr>
            </w:pPr>
            <w:r w:rsidRPr="00C67B17">
              <w:rPr>
                <w:rFonts w:eastAsia="Times New Roman" w:cs="Arial"/>
                <w:sz w:val="20"/>
                <w:szCs w:val="20"/>
              </w:rPr>
              <w:t>The document signed by the Awardee and FFP that describes commodities and the progr</w:t>
            </w:r>
            <w:r w:rsidR="00792A85">
              <w:rPr>
                <w:rFonts w:eastAsia="Times New Roman" w:cs="Arial"/>
                <w:sz w:val="20"/>
                <w:szCs w:val="20"/>
              </w:rPr>
              <w:t xml:space="preserve">am in which they will be used. </w:t>
            </w:r>
            <w:r w:rsidRPr="00C67B17">
              <w:rPr>
                <w:rFonts w:eastAsia="Times New Roman" w:cs="Arial"/>
                <w:sz w:val="20"/>
                <w:szCs w:val="20"/>
              </w:rPr>
              <w:t>The TA incorporates Regulation 11 and authorizes CCC to ship commodities.</w:t>
            </w:r>
          </w:p>
        </w:tc>
      </w:tr>
    </w:tbl>
    <w:p w:rsidR="00792A85" w:rsidRDefault="00792A85">
      <w:r>
        <w:br w:type="page"/>
      </w:r>
    </w:p>
    <w:tbl>
      <w:tblPr>
        <w:tblStyle w:val="TableGrid"/>
        <w:tblW w:w="0" w:type="auto"/>
        <w:tblLook w:val="04A0" w:firstRow="1" w:lastRow="0" w:firstColumn="1" w:lastColumn="0" w:noHBand="0" w:noVBand="1"/>
      </w:tblPr>
      <w:tblGrid>
        <w:gridCol w:w="1890"/>
        <w:gridCol w:w="7353"/>
      </w:tblGrid>
      <w:tr w:rsidR="00494ECC" w:rsidRPr="008F550F" w:rsidTr="00370662">
        <w:tc>
          <w:tcPr>
            <w:tcW w:w="1890" w:type="dxa"/>
          </w:tcPr>
          <w:p w:rsidR="00494ECC" w:rsidRPr="00C67B17" w:rsidRDefault="00494ECC" w:rsidP="00630EBB">
            <w:pPr>
              <w:spacing w:before="60" w:after="60" w:line="252" w:lineRule="auto"/>
              <w:rPr>
                <w:b/>
                <w:sz w:val="20"/>
                <w:szCs w:val="20"/>
              </w:rPr>
            </w:pPr>
            <w:r w:rsidRPr="00C67B17">
              <w:rPr>
                <w:b/>
                <w:sz w:val="20"/>
                <w:szCs w:val="20"/>
              </w:rPr>
              <w:lastRenderedPageBreak/>
              <w:t xml:space="preserve">Transfer of </w:t>
            </w:r>
            <w:r w:rsidR="00792A85">
              <w:rPr>
                <w:b/>
                <w:sz w:val="20"/>
                <w:szCs w:val="20"/>
              </w:rPr>
              <w:t>c</w:t>
            </w:r>
            <w:r w:rsidRPr="00C67B17">
              <w:rPr>
                <w:b/>
                <w:sz w:val="20"/>
                <w:szCs w:val="20"/>
              </w:rPr>
              <w:t xml:space="preserve">ommodity </w:t>
            </w:r>
            <w:r w:rsidR="00630EBB">
              <w:rPr>
                <w:b/>
                <w:sz w:val="20"/>
                <w:szCs w:val="20"/>
              </w:rPr>
              <w:t>t</w:t>
            </w:r>
            <w:r w:rsidRPr="00C67B17">
              <w:rPr>
                <w:b/>
                <w:sz w:val="20"/>
                <w:szCs w:val="20"/>
              </w:rPr>
              <w:t>itle</w:t>
            </w:r>
          </w:p>
        </w:tc>
        <w:tc>
          <w:tcPr>
            <w:tcW w:w="7353" w:type="dxa"/>
          </w:tcPr>
          <w:p w:rsidR="00494ECC" w:rsidRPr="00C67B17" w:rsidRDefault="00494ECC" w:rsidP="00494ECC">
            <w:pPr>
              <w:tabs>
                <w:tab w:val="left" w:pos="-720"/>
              </w:tabs>
              <w:spacing w:before="60" w:after="60" w:line="252" w:lineRule="auto"/>
              <w:rPr>
                <w:rFonts w:eastAsia="Times New Roman" w:cs="Arial"/>
                <w:sz w:val="20"/>
                <w:szCs w:val="20"/>
              </w:rPr>
            </w:pPr>
            <w:r w:rsidRPr="00C67B17">
              <w:rPr>
                <w:rFonts w:eastAsia="Times New Roman" w:cs="Arial"/>
                <w:sz w:val="20"/>
                <w:szCs w:val="20"/>
              </w:rPr>
              <w:t>Unless the Award states otherwise, title (which implies responsibility) to commodity passes from the USDA to the Awardee at the point in the U</w:t>
            </w:r>
            <w:r w:rsidR="00630EBB">
              <w:rPr>
                <w:rFonts w:eastAsia="Times New Roman" w:cs="Arial"/>
                <w:sz w:val="20"/>
                <w:szCs w:val="20"/>
              </w:rPr>
              <w:t>.</w:t>
            </w:r>
            <w:r w:rsidRPr="00C67B17">
              <w:rPr>
                <w:rFonts w:eastAsia="Times New Roman" w:cs="Arial"/>
                <w:sz w:val="20"/>
                <w:szCs w:val="20"/>
              </w:rPr>
              <w:t>S</w:t>
            </w:r>
            <w:r w:rsidR="00630EBB">
              <w:rPr>
                <w:rFonts w:eastAsia="Times New Roman" w:cs="Arial"/>
                <w:sz w:val="20"/>
                <w:szCs w:val="20"/>
              </w:rPr>
              <w:t>.</w:t>
            </w:r>
            <w:r w:rsidRPr="00C67B17">
              <w:rPr>
                <w:rFonts w:eastAsia="Times New Roman" w:cs="Arial"/>
                <w:sz w:val="20"/>
                <w:szCs w:val="20"/>
              </w:rPr>
              <w:t xml:space="preserve"> where the shipping company takes possession of the cargo, either on the dock or on the ship itself.</w:t>
            </w:r>
          </w:p>
          <w:p w:rsidR="00494ECC" w:rsidRPr="00C67B17" w:rsidRDefault="00494ECC" w:rsidP="00630EBB">
            <w:pPr>
              <w:tabs>
                <w:tab w:val="left" w:pos="-720"/>
              </w:tabs>
              <w:spacing w:before="60" w:after="60" w:line="252" w:lineRule="auto"/>
              <w:rPr>
                <w:rFonts w:eastAsia="Times New Roman" w:cs="Arial"/>
                <w:sz w:val="20"/>
                <w:szCs w:val="20"/>
              </w:rPr>
            </w:pPr>
            <w:r w:rsidRPr="00C67B17">
              <w:rPr>
                <w:rFonts w:eastAsia="Times New Roman" w:cs="Arial"/>
                <w:sz w:val="20"/>
                <w:szCs w:val="20"/>
              </w:rPr>
              <w:t>Unless otherwise agreed in writing, the Awardee retains title to all commodities it subsequently transfers to a recipient agency for distribution or other use in accordance with the terms of the Award.</w:t>
            </w:r>
          </w:p>
        </w:tc>
      </w:tr>
      <w:tr w:rsidR="00494ECC" w:rsidRPr="008F550F" w:rsidTr="00370662">
        <w:tc>
          <w:tcPr>
            <w:tcW w:w="1890" w:type="dxa"/>
          </w:tcPr>
          <w:p w:rsidR="00494ECC" w:rsidRPr="00C67B17" w:rsidRDefault="00494ECC" w:rsidP="00630EBB">
            <w:pPr>
              <w:spacing w:before="60" w:after="60" w:line="252" w:lineRule="auto"/>
              <w:rPr>
                <w:b/>
                <w:sz w:val="20"/>
                <w:szCs w:val="20"/>
              </w:rPr>
            </w:pPr>
            <w:r w:rsidRPr="00C67B17">
              <w:rPr>
                <w:b/>
                <w:sz w:val="20"/>
                <w:szCs w:val="20"/>
              </w:rPr>
              <w:t>Turn</w:t>
            </w:r>
            <w:r w:rsidR="00630EBB">
              <w:rPr>
                <w:b/>
                <w:sz w:val="20"/>
                <w:szCs w:val="20"/>
              </w:rPr>
              <w:t>a</w:t>
            </w:r>
            <w:r w:rsidRPr="00C67B17">
              <w:rPr>
                <w:b/>
                <w:sz w:val="20"/>
                <w:szCs w:val="20"/>
              </w:rPr>
              <w:t xml:space="preserve">round </w:t>
            </w:r>
            <w:r w:rsidR="00630EBB">
              <w:rPr>
                <w:b/>
                <w:sz w:val="20"/>
                <w:szCs w:val="20"/>
              </w:rPr>
              <w:t>t</w:t>
            </w:r>
            <w:r w:rsidRPr="00C67B17">
              <w:rPr>
                <w:b/>
                <w:sz w:val="20"/>
                <w:szCs w:val="20"/>
              </w:rPr>
              <w:t>ime (TAT)</w:t>
            </w:r>
          </w:p>
        </w:tc>
        <w:tc>
          <w:tcPr>
            <w:tcW w:w="7353" w:type="dxa"/>
          </w:tcPr>
          <w:p w:rsidR="00494ECC" w:rsidRPr="00C67B17" w:rsidRDefault="00494ECC" w:rsidP="00494ECC">
            <w:pPr>
              <w:tabs>
                <w:tab w:val="left" w:pos="-720"/>
              </w:tabs>
              <w:spacing w:before="60" w:after="60" w:line="252" w:lineRule="auto"/>
              <w:rPr>
                <w:rFonts w:eastAsia="Times New Roman" w:cs="Arial"/>
                <w:sz w:val="20"/>
                <w:szCs w:val="20"/>
              </w:rPr>
            </w:pPr>
            <w:r w:rsidRPr="00C67B17">
              <w:rPr>
                <w:rFonts w:eastAsia="Times New Roman" w:cs="Arial"/>
                <w:sz w:val="20"/>
                <w:szCs w:val="20"/>
              </w:rPr>
              <w:t>The time required for an empty vehicle to load, travel to its destination, unload, and ret</w:t>
            </w:r>
            <w:r w:rsidR="00630EBB">
              <w:rPr>
                <w:rFonts w:eastAsia="Times New Roman" w:cs="Arial"/>
                <w:sz w:val="20"/>
                <w:szCs w:val="20"/>
              </w:rPr>
              <w:t>urn again to the starting point</w:t>
            </w:r>
          </w:p>
        </w:tc>
      </w:tr>
      <w:tr w:rsidR="00494ECC" w:rsidRPr="008F550F" w:rsidTr="00370662">
        <w:tc>
          <w:tcPr>
            <w:tcW w:w="1890" w:type="dxa"/>
          </w:tcPr>
          <w:p w:rsidR="00494ECC" w:rsidRPr="00C67B17" w:rsidRDefault="00494ECC" w:rsidP="00630EBB">
            <w:pPr>
              <w:spacing w:before="60" w:after="60" w:line="252" w:lineRule="auto"/>
              <w:rPr>
                <w:b/>
                <w:sz w:val="20"/>
                <w:szCs w:val="20"/>
              </w:rPr>
            </w:pPr>
            <w:r w:rsidRPr="00C67B17">
              <w:rPr>
                <w:rFonts w:eastAsia="Times New Roman" w:cs="Arial"/>
                <w:b/>
                <w:sz w:val="20"/>
                <w:szCs w:val="20"/>
              </w:rPr>
              <w:t xml:space="preserve">Vessel </w:t>
            </w:r>
            <w:r w:rsidR="00630EBB">
              <w:rPr>
                <w:rFonts w:eastAsia="Times New Roman" w:cs="Arial"/>
                <w:b/>
                <w:sz w:val="20"/>
                <w:szCs w:val="20"/>
              </w:rPr>
              <w:t>l</w:t>
            </w:r>
            <w:r w:rsidRPr="00C67B17">
              <w:rPr>
                <w:rFonts w:eastAsia="Times New Roman" w:cs="Arial"/>
                <w:b/>
                <w:sz w:val="20"/>
                <w:szCs w:val="20"/>
              </w:rPr>
              <w:t xml:space="preserve">oading </w:t>
            </w:r>
            <w:r w:rsidR="00630EBB">
              <w:rPr>
                <w:rFonts w:eastAsia="Times New Roman" w:cs="Arial"/>
                <w:b/>
                <w:sz w:val="20"/>
                <w:szCs w:val="20"/>
              </w:rPr>
              <w:t>o</w:t>
            </w:r>
            <w:r w:rsidRPr="00C67B17">
              <w:rPr>
                <w:rFonts w:eastAsia="Times New Roman" w:cs="Arial"/>
                <w:b/>
                <w:sz w:val="20"/>
                <w:szCs w:val="20"/>
              </w:rPr>
              <w:t>bservation</w:t>
            </w:r>
            <w:r w:rsidRPr="00C67B17">
              <w:rPr>
                <w:b/>
                <w:sz w:val="20"/>
                <w:szCs w:val="20"/>
              </w:rPr>
              <w:t xml:space="preserve"> </w:t>
            </w:r>
          </w:p>
        </w:tc>
        <w:tc>
          <w:tcPr>
            <w:tcW w:w="7353" w:type="dxa"/>
          </w:tcPr>
          <w:p w:rsidR="00494ECC" w:rsidRPr="00C67B17" w:rsidRDefault="00494ECC" w:rsidP="00630EBB">
            <w:pPr>
              <w:tabs>
                <w:tab w:val="left" w:pos="-720"/>
              </w:tabs>
              <w:spacing w:before="60" w:after="60" w:line="252" w:lineRule="auto"/>
              <w:rPr>
                <w:rFonts w:eastAsia="Times New Roman" w:cs="Arial"/>
                <w:sz w:val="20"/>
                <w:szCs w:val="20"/>
              </w:rPr>
            </w:pPr>
            <w:r w:rsidRPr="00C67B17">
              <w:rPr>
                <w:sz w:val="20"/>
                <w:szCs w:val="20"/>
              </w:rPr>
              <w:t>Process of monitoring the loading of ships to verify (and certify) that damaged commodity is not shipped</w:t>
            </w:r>
            <w:r w:rsidRPr="00C67B17">
              <w:rPr>
                <w:rFonts w:eastAsia="Times New Roman" w:cs="Arial"/>
                <w:sz w:val="20"/>
                <w:szCs w:val="20"/>
              </w:rPr>
              <w:t>. (Note: VLO is not conducted for bulk commodity</w:t>
            </w:r>
            <w:r w:rsidR="00630EBB">
              <w:rPr>
                <w:rFonts w:eastAsia="Times New Roman" w:cs="Arial"/>
                <w:sz w:val="20"/>
                <w:szCs w:val="20"/>
              </w:rPr>
              <w:t>.</w:t>
            </w:r>
            <w:r w:rsidRPr="00C67B17">
              <w:rPr>
                <w:rFonts w:eastAsia="Times New Roman" w:cs="Arial"/>
                <w:sz w:val="20"/>
                <w:szCs w:val="20"/>
              </w:rPr>
              <w:t>)</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sz w:val="20"/>
                <w:szCs w:val="20"/>
              </w:rPr>
              <w:t>Waybill</w:t>
            </w:r>
          </w:p>
        </w:tc>
        <w:tc>
          <w:tcPr>
            <w:tcW w:w="7353" w:type="dxa"/>
          </w:tcPr>
          <w:p w:rsidR="00494ECC" w:rsidRPr="00C67B17" w:rsidRDefault="00494ECC" w:rsidP="00494ECC">
            <w:pPr>
              <w:tabs>
                <w:tab w:val="left" w:pos="-720"/>
              </w:tabs>
              <w:spacing w:before="60" w:after="60" w:line="252" w:lineRule="auto"/>
              <w:rPr>
                <w:rFonts w:eastAsia="Times New Roman" w:cs="Arial"/>
                <w:sz w:val="20"/>
                <w:szCs w:val="20"/>
              </w:rPr>
            </w:pPr>
            <w:r w:rsidRPr="00C67B17">
              <w:rPr>
                <w:rFonts w:eastAsia="Times New Roman" w:cs="Arial"/>
                <w:sz w:val="20"/>
                <w:szCs w:val="20"/>
              </w:rPr>
              <w:t>The primary document for the receipt and dispatch of commodity</w:t>
            </w:r>
            <w:r w:rsidR="00630EBB">
              <w:rPr>
                <w:rFonts w:eastAsia="Times New Roman" w:cs="Arial"/>
                <w:sz w:val="20"/>
                <w:szCs w:val="20"/>
              </w:rPr>
              <w:t xml:space="preserve"> into and out of all warehouses</w:t>
            </w:r>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sz w:val="20"/>
                <w:szCs w:val="20"/>
              </w:rPr>
              <w:t>WBSCM</w:t>
            </w:r>
          </w:p>
        </w:tc>
        <w:tc>
          <w:tcPr>
            <w:tcW w:w="7353" w:type="dxa"/>
          </w:tcPr>
          <w:p w:rsidR="00494ECC" w:rsidRPr="00C67B17" w:rsidRDefault="00630EBB" w:rsidP="00630EBB">
            <w:pPr>
              <w:tabs>
                <w:tab w:val="left" w:pos="-720"/>
              </w:tabs>
              <w:spacing w:before="60" w:after="60" w:line="252" w:lineRule="auto"/>
              <w:rPr>
                <w:rFonts w:eastAsia="Times New Roman" w:cs="Arial"/>
                <w:sz w:val="20"/>
                <w:szCs w:val="20"/>
              </w:rPr>
            </w:pPr>
            <w:r>
              <w:rPr>
                <w:rFonts w:eastAsia="Times New Roman" w:cs="Times New Roman"/>
                <w:color w:val="000000"/>
                <w:sz w:val="20"/>
                <w:szCs w:val="20"/>
              </w:rPr>
              <w:t>The Web-</w:t>
            </w:r>
            <w:r w:rsidR="00494ECC" w:rsidRPr="00C67B17">
              <w:rPr>
                <w:rFonts w:eastAsia="Times New Roman" w:cs="Times New Roman"/>
                <w:color w:val="000000"/>
                <w:sz w:val="20"/>
                <w:szCs w:val="20"/>
              </w:rPr>
              <w:t>Based Supply Chain Management (WBSCM) system is an integrated, internet-based commodity acquisition, distribution, and tracking system built on SAP commercial software and an Oracle platform. WBSCM supports international food and nutrition pro</w:t>
            </w:r>
            <w:r w:rsidR="00494ECC">
              <w:rPr>
                <w:rFonts w:eastAsia="Times New Roman" w:cs="Times New Roman"/>
                <w:color w:val="000000"/>
                <w:sz w:val="20"/>
                <w:szCs w:val="20"/>
              </w:rPr>
              <w:t xml:space="preserve">grams administered by the USDA </w:t>
            </w:r>
            <w:r w:rsidR="00494ECC" w:rsidRPr="00C67B17">
              <w:rPr>
                <w:rFonts w:eastAsia="Times New Roman" w:cs="Times New Roman"/>
                <w:color w:val="000000"/>
                <w:sz w:val="20"/>
                <w:szCs w:val="20"/>
              </w:rPr>
              <w:t>and USAID, including Food for Peace.  Access to the site i</w:t>
            </w:r>
            <w:r>
              <w:rPr>
                <w:rFonts w:eastAsia="Times New Roman" w:cs="Times New Roman"/>
                <w:color w:val="000000"/>
                <w:sz w:val="20"/>
                <w:szCs w:val="20"/>
              </w:rPr>
              <w:t>s available here</w:t>
            </w:r>
            <w:r w:rsidR="00494ECC" w:rsidRPr="00C67B17">
              <w:rPr>
                <w:rFonts w:eastAsia="Times New Roman" w:cs="Times New Roman"/>
                <w:color w:val="000000"/>
                <w:sz w:val="20"/>
                <w:szCs w:val="20"/>
              </w:rPr>
              <w:t xml:space="preserve">: </w:t>
            </w:r>
            <w:hyperlink r:id="rId7" w:history="1">
              <w:r w:rsidR="00494ECC" w:rsidRPr="00130F7B">
                <w:rPr>
                  <w:rStyle w:val="Hyperlink"/>
                  <w:rFonts w:eastAsia="Times New Roman" w:cs="Times New Roman"/>
                  <w:color w:val="237990"/>
                  <w:sz w:val="20"/>
                  <w:szCs w:val="20"/>
                </w:rPr>
                <w:t>http://www.usda.gov/wps/portal/usda/usdahome?navid=WBSCM</w:t>
              </w:r>
            </w:hyperlink>
          </w:p>
        </w:tc>
      </w:tr>
      <w:tr w:rsidR="00494ECC" w:rsidRPr="008F550F" w:rsidTr="00370662">
        <w:tc>
          <w:tcPr>
            <w:tcW w:w="1890" w:type="dxa"/>
          </w:tcPr>
          <w:p w:rsidR="00494ECC" w:rsidRPr="00C67B17" w:rsidRDefault="00494ECC" w:rsidP="00494ECC">
            <w:pPr>
              <w:spacing w:before="60" w:after="60" w:line="252" w:lineRule="auto"/>
              <w:rPr>
                <w:b/>
                <w:sz w:val="20"/>
                <w:szCs w:val="20"/>
              </w:rPr>
            </w:pPr>
            <w:r w:rsidRPr="00C67B17">
              <w:rPr>
                <w:b/>
                <w:bCs/>
                <w:sz w:val="20"/>
                <w:szCs w:val="20"/>
              </w:rPr>
              <w:t>Work</w:t>
            </w:r>
            <w:r>
              <w:rPr>
                <w:b/>
                <w:bCs/>
                <w:sz w:val="20"/>
                <w:szCs w:val="20"/>
              </w:rPr>
              <w:t xml:space="preserve"> </w:t>
            </w:r>
            <w:r w:rsidRPr="00C67B17">
              <w:rPr>
                <w:b/>
                <w:bCs/>
                <w:sz w:val="20"/>
                <w:szCs w:val="20"/>
              </w:rPr>
              <w:t>plan</w:t>
            </w:r>
          </w:p>
        </w:tc>
        <w:tc>
          <w:tcPr>
            <w:tcW w:w="7353" w:type="dxa"/>
          </w:tcPr>
          <w:p w:rsidR="00494ECC" w:rsidRPr="00C67B17" w:rsidRDefault="00494ECC" w:rsidP="00630EBB">
            <w:pPr>
              <w:tabs>
                <w:tab w:val="left" w:pos="-720"/>
              </w:tabs>
              <w:spacing w:before="60" w:after="60" w:line="252" w:lineRule="auto"/>
              <w:rPr>
                <w:rFonts w:eastAsia="Times New Roman" w:cs="Times New Roman"/>
                <w:color w:val="000000"/>
                <w:sz w:val="20"/>
                <w:szCs w:val="20"/>
              </w:rPr>
            </w:pPr>
            <w:r w:rsidRPr="00C67B17">
              <w:rPr>
                <w:sz w:val="20"/>
                <w:szCs w:val="20"/>
              </w:rPr>
              <w:t xml:space="preserve">Document detailing planned activities, </w:t>
            </w:r>
            <w:r w:rsidR="00630EBB">
              <w:rPr>
                <w:sz w:val="20"/>
                <w:szCs w:val="20"/>
              </w:rPr>
              <w:t xml:space="preserve">required </w:t>
            </w:r>
            <w:r w:rsidRPr="00C67B17">
              <w:rPr>
                <w:sz w:val="20"/>
                <w:szCs w:val="20"/>
              </w:rPr>
              <w:t>resources</w:t>
            </w:r>
            <w:r w:rsidR="00630EBB">
              <w:rPr>
                <w:sz w:val="20"/>
                <w:szCs w:val="20"/>
              </w:rPr>
              <w:t>, and targets</w:t>
            </w:r>
            <w:bookmarkStart w:id="0" w:name="_GoBack"/>
            <w:bookmarkEnd w:id="0"/>
          </w:p>
        </w:tc>
      </w:tr>
    </w:tbl>
    <w:p w:rsidR="00214CB2" w:rsidRDefault="00214CB2" w:rsidP="004C32BC">
      <w:pPr>
        <w:pStyle w:val="Default"/>
        <w:rPr>
          <w:i/>
          <w:iCs/>
          <w:sz w:val="18"/>
          <w:szCs w:val="18"/>
        </w:rPr>
      </w:pPr>
    </w:p>
    <w:sectPr w:rsidR="00214CB2" w:rsidSect="002578F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66" w:rsidRDefault="00C61666" w:rsidP="002578F5">
      <w:pPr>
        <w:spacing w:before="0" w:after="0"/>
      </w:pPr>
      <w:r>
        <w:separator/>
      </w:r>
    </w:p>
  </w:endnote>
  <w:endnote w:type="continuationSeparator" w:id="0">
    <w:p w:rsidR="00C61666" w:rsidRDefault="00C61666" w:rsidP="00257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905246"/>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B620A5" w:rsidRPr="00AB2E5B" w:rsidRDefault="00B620A5" w:rsidP="002578F5">
            <w:pPr>
              <w:pStyle w:val="Footer"/>
              <w:jc w:val="center"/>
              <w:rPr>
                <w:sz w:val="20"/>
                <w:szCs w:val="20"/>
              </w:rPr>
            </w:pPr>
            <w:r w:rsidRPr="00AB2E5B">
              <w:rPr>
                <w:sz w:val="20"/>
                <w:szCs w:val="20"/>
              </w:rPr>
              <w:t xml:space="preserve">Page </w:t>
            </w:r>
            <w:r w:rsidRPr="00AB2E5B">
              <w:rPr>
                <w:sz w:val="20"/>
                <w:szCs w:val="20"/>
              </w:rPr>
              <w:fldChar w:fldCharType="begin"/>
            </w:r>
            <w:r w:rsidRPr="00AB2E5B">
              <w:rPr>
                <w:sz w:val="20"/>
                <w:szCs w:val="20"/>
              </w:rPr>
              <w:instrText xml:space="preserve"> PAGE </w:instrText>
            </w:r>
            <w:r w:rsidRPr="00AB2E5B">
              <w:rPr>
                <w:sz w:val="20"/>
                <w:szCs w:val="20"/>
              </w:rPr>
              <w:fldChar w:fldCharType="separate"/>
            </w:r>
            <w:r w:rsidR="00630EBB">
              <w:rPr>
                <w:noProof/>
                <w:sz w:val="20"/>
                <w:szCs w:val="20"/>
              </w:rPr>
              <w:t>9</w:t>
            </w:r>
            <w:r w:rsidRPr="00AB2E5B">
              <w:rPr>
                <w:sz w:val="20"/>
                <w:szCs w:val="20"/>
              </w:rPr>
              <w:fldChar w:fldCharType="end"/>
            </w:r>
            <w:r w:rsidRPr="00AB2E5B">
              <w:rPr>
                <w:sz w:val="20"/>
                <w:szCs w:val="20"/>
              </w:rPr>
              <w:t xml:space="preserve"> of </w:t>
            </w:r>
            <w:r w:rsidRPr="00AB2E5B">
              <w:rPr>
                <w:sz w:val="20"/>
                <w:szCs w:val="20"/>
              </w:rPr>
              <w:fldChar w:fldCharType="begin"/>
            </w:r>
            <w:r w:rsidRPr="00AB2E5B">
              <w:rPr>
                <w:sz w:val="20"/>
                <w:szCs w:val="20"/>
              </w:rPr>
              <w:instrText xml:space="preserve"> NUMPAGES  </w:instrText>
            </w:r>
            <w:r w:rsidRPr="00AB2E5B">
              <w:rPr>
                <w:sz w:val="20"/>
                <w:szCs w:val="20"/>
              </w:rPr>
              <w:fldChar w:fldCharType="separate"/>
            </w:r>
            <w:r w:rsidR="00630EBB">
              <w:rPr>
                <w:noProof/>
                <w:sz w:val="20"/>
                <w:szCs w:val="20"/>
              </w:rPr>
              <w:t>9</w:t>
            </w:r>
            <w:r w:rsidRPr="00AB2E5B">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66" w:rsidRDefault="00C61666" w:rsidP="002578F5">
      <w:pPr>
        <w:spacing w:before="0" w:after="0"/>
      </w:pPr>
      <w:r>
        <w:separator/>
      </w:r>
    </w:p>
  </w:footnote>
  <w:footnote w:type="continuationSeparator" w:id="0">
    <w:p w:rsidR="00C61666" w:rsidRDefault="00C61666" w:rsidP="002578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A5" w:rsidRPr="00835096" w:rsidRDefault="00B620A5" w:rsidP="002578F5">
    <w:pPr>
      <w:pStyle w:val="Header"/>
      <w:jc w:val="center"/>
      <w:rPr>
        <w:color w:val="237990"/>
        <w:sz w:val="28"/>
        <w:szCs w:val="28"/>
      </w:rPr>
    </w:pPr>
    <w:r w:rsidRPr="00835096">
      <w:rPr>
        <w:b/>
        <w:color w:val="237990"/>
        <w:sz w:val="28"/>
        <w:szCs w:val="28"/>
      </w:rPr>
      <w:t>Glossary and 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1A3"/>
    <w:multiLevelType w:val="hybridMultilevel"/>
    <w:tmpl w:val="7B3AC9F0"/>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5108"/>
    <w:multiLevelType w:val="hybridMultilevel"/>
    <w:tmpl w:val="E5E04EAA"/>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5731"/>
    <w:multiLevelType w:val="hybridMultilevel"/>
    <w:tmpl w:val="6EB69802"/>
    <w:lvl w:ilvl="0" w:tplc="39888BDC">
      <w:numFmt w:val="bullet"/>
      <w:lvlText w:val="•"/>
      <w:lvlJc w:val="left"/>
      <w:pPr>
        <w:ind w:left="720" w:hanging="360"/>
      </w:pPr>
      <w:rPr>
        <w:rFonts w:ascii="Calibri" w:eastAsiaTheme="minorHAnsi" w:hAnsi="Calibri" w:cstheme="minorBidi" w:hint="default"/>
      </w:rPr>
    </w:lvl>
    <w:lvl w:ilvl="1" w:tplc="39888BDC">
      <w:numFmt w:val="bullet"/>
      <w:lvlText w:val="•"/>
      <w:lvlJc w:val="left"/>
      <w:pPr>
        <w:ind w:left="1440" w:hanging="360"/>
      </w:pPr>
      <w:rPr>
        <w:rFonts w:ascii="Calibri" w:eastAsiaTheme="minorHAnsi" w:hAnsi="Calibri" w:cstheme="minorBidi" w:hint="default"/>
      </w:rPr>
    </w:lvl>
    <w:lvl w:ilvl="2" w:tplc="98C2B190">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6200"/>
    <w:multiLevelType w:val="hybridMultilevel"/>
    <w:tmpl w:val="E22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E0A2D"/>
    <w:multiLevelType w:val="hybridMultilevel"/>
    <w:tmpl w:val="03D0982C"/>
    <w:lvl w:ilvl="0" w:tplc="01BA833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A2865"/>
    <w:multiLevelType w:val="hybridMultilevel"/>
    <w:tmpl w:val="0FC67548"/>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2147C"/>
    <w:multiLevelType w:val="hybridMultilevel"/>
    <w:tmpl w:val="3EF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550F"/>
    <w:rsid w:val="000077D2"/>
    <w:rsid w:val="000139CC"/>
    <w:rsid w:val="00026341"/>
    <w:rsid w:val="000379ED"/>
    <w:rsid w:val="000418F0"/>
    <w:rsid w:val="000500B0"/>
    <w:rsid w:val="00053C1E"/>
    <w:rsid w:val="00061EA8"/>
    <w:rsid w:val="00073C19"/>
    <w:rsid w:val="00076DA7"/>
    <w:rsid w:val="000818B6"/>
    <w:rsid w:val="00082B3C"/>
    <w:rsid w:val="00086B5E"/>
    <w:rsid w:val="000924B4"/>
    <w:rsid w:val="000A1921"/>
    <w:rsid w:val="000B75D5"/>
    <w:rsid w:val="000E4BB2"/>
    <w:rsid w:val="00113F17"/>
    <w:rsid w:val="00115CF2"/>
    <w:rsid w:val="00130F7B"/>
    <w:rsid w:val="001331E2"/>
    <w:rsid w:val="00147F82"/>
    <w:rsid w:val="001515D1"/>
    <w:rsid w:val="001517C6"/>
    <w:rsid w:val="00165D64"/>
    <w:rsid w:val="00166ABA"/>
    <w:rsid w:val="001750E5"/>
    <w:rsid w:val="00191B8E"/>
    <w:rsid w:val="001A15FF"/>
    <w:rsid w:val="001C40FD"/>
    <w:rsid w:val="00214CB2"/>
    <w:rsid w:val="0021681C"/>
    <w:rsid w:val="00220783"/>
    <w:rsid w:val="002243F3"/>
    <w:rsid w:val="002305AD"/>
    <w:rsid w:val="00230F56"/>
    <w:rsid w:val="002578F5"/>
    <w:rsid w:val="002616E0"/>
    <w:rsid w:val="00282A2D"/>
    <w:rsid w:val="002834B3"/>
    <w:rsid w:val="00286547"/>
    <w:rsid w:val="00286B6F"/>
    <w:rsid w:val="00294E75"/>
    <w:rsid w:val="00295A0B"/>
    <w:rsid w:val="002A0E5E"/>
    <w:rsid w:val="002A74C9"/>
    <w:rsid w:val="002B33CE"/>
    <w:rsid w:val="002B4503"/>
    <w:rsid w:val="002D37C3"/>
    <w:rsid w:val="002E0D1A"/>
    <w:rsid w:val="002F39C7"/>
    <w:rsid w:val="002F7340"/>
    <w:rsid w:val="00341B54"/>
    <w:rsid w:val="0035555B"/>
    <w:rsid w:val="0036285F"/>
    <w:rsid w:val="00370662"/>
    <w:rsid w:val="00371343"/>
    <w:rsid w:val="00381413"/>
    <w:rsid w:val="003B170B"/>
    <w:rsid w:val="003D156B"/>
    <w:rsid w:val="003D19C5"/>
    <w:rsid w:val="003E170B"/>
    <w:rsid w:val="003E1BD2"/>
    <w:rsid w:val="003E2B0E"/>
    <w:rsid w:val="003E499D"/>
    <w:rsid w:val="00404A18"/>
    <w:rsid w:val="00407BBC"/>
    <w:rsid w:val="004445F2"/>
    <w:rsid w:val="004577E3"/>
    <w:rsid w:val="00461588"/>
    <w:rsid w:val="00491C89"/>
    <w:rsid w:val="00494ECC"/>
    <w:rsid w:val="004A1DD4"/>
    <w:rsid w:val="004A2B25"/>
    <w:rsid w:val="004A783E"/>
    <w:rsid w:val="004B76A9"/>
    <w:rsid w:val="004C1E92"/>
    <w:rsid w:val="004C32BC"/>
    <w:rsid w:val="004C4C49"/>
    <w:rsid w:val="004D037D"/>
    <w:rsid w:val="004E103B"/>
    <w:rsid w:val="004E3DAE"/>
    <w:rsid w:val="004F3833"/>
    <w:rsid w:val="004F451D"/>
    <w:rsid w:val="004F73CB"/>
    <w:rsid w:val="00511808"/>
    <w:rsid w:val="005228B4"/>
    <w:rsid w:val="00535566"/>
    <w:rsid w:val="005400A2"/>
    <w:rsid w:val="00540512"/>
    <w:rsid w:val="00543CD0"/>
    <w:rsid w:val="0056187D"/>
    <w:rsid w:val="00577A7C"/>
    <w:rsid w:val="00586DD7"/>
    <w:rsid w:val="005931BA"/>
    <w:rsid w:val="00594F91"/>
    <w:rsid w:val="005A50F9"/>
    <w:rsid w:val="005B4FAB"/>
    <w:rsid w:val="005B721B"/>
    <w:rsid w:val="005C33DA"/>
    <w:rsid w:val="005E1EBA"/>
    <w:rsid w:val="005E79C8"/>
    <w:rsid w:val="00611787"/>
    <w:rsid w:val="00612EF5"/>
    <w:rsid w:val="00630EBB"/>
    <w:rsid w:val="00647220"/>
    <w:rsid w:val="00651582"/>
    <w:rsid w:val="00663038"/>
    <w:rsid w:val="00663220"/>
    <w:rsid w:val="006835D4"/>
    <w:rsid w:val="00685BA7"/>
    <w:rsid w:val="006A35A1"/>
    <w:rsid w:val="006A6D8E"/>
    <w:rsid w:val="006C2E9C"/>
    <w:rsid w:val="006D4EF4"/>
    <w:rsid w:val="00717FBF"/>
    <w:rsid w:val="00766BDE"/>
    <w:rsid w:val="00775EF3"/>
    <w:rsid w:val="00777D7C"/>
    <w:rsid w:val="007823A7"/>
    <w:rsid w:val="007832BE"/>
    <w:rsid w:val="00792A85"/>
    <w:rsid w:val="00796E05"/>
    <w:rsid w:val="007A362A"/>
    <w:rsid w:val="007B44A2"/>
    <w:rsid w:val="007B551F"/>
    <w:rsid w:val="007C516C"/>
    <w:rsid w:val="007C7C6F"/>
    <w:rsid w:val="007E568C"/>
    <w:rsid w:val="007F4DB9"/>
    <w:rsid w:val="0080290B"/>
    <w:rsid w:val="00811E3E"/>
    <w:rsid w:val="00815C29"/>
    <w:rsid w:val="00831EF7"/>
    <w:rsid w:val="00835096"/>
    <w:rsid w:val="00840186"/>
    <w:rsid w:val="00841552"/>
    <w:rsid w:val="0088124D"/>
    <w:rsid w:val="008815A7"/>
    <w:rsid w:val="0088539F"/>
    <w:rsid w:val="008B17E9"/>
    <w:rsid w:val="008B4D69"/>
    <w:rsid w:val="008F10C0"/>
    <w:rsid w:val="008F49DF"/>
    <w:rsid w:val="008F550F"/>
    <w:rsid w:val="00927724"/>
    <w:rsid w:val="00937D1C"/>
    <w:rsid w:val="00954C84"/>
    <w:rsid w:val="00962540"/>
    <w:rsid w:val="009715D5"/>
    <w:rsid w:val="009837D1"/>
    <w:rsid w:val="0098673A"/>
    <w:rsid w:val="00990F28"/>
    <w:rsid w:val="009920D1"/>
    <w:rsid w:val="009A2EFC"/>
    <w:rsid w:val="009A30D6"/>
    <w:rsid w:val="009B1221"/>
    <w:rsid w:val="009B1E09"/>
    <w:rsid w:val="009C6B2F"/>
    <w:rsid w:val="009E37F9"/>
    <w:rsid w:val="009E56FE"/>
    <w:rsid w:val="009E5D16"/>
    <w:rsid w:val="009E716A"/>
    <w:rsid w:val="009F22D9"/>
    <w:rsid w:val="00A01051"/>
    <w:rsid w:val="00A10BB6"/>
    <w:rsid w:val="00A12AB1"/>
    <w:rsid w:val="00A14139"/>
    <w:rsid w:val="00A16477"/>
    <w:rsid w:val="00A16626"/>
    <w:rsid w:val="00A17658"/>
    <w:rsid w:val="00A25571"/>
    <w:rsid w:val="00A3413E"/>
    <w:rsid w:val="00A36AFB"/>
    <w:rsid w:val="00A37972"/>
    <w:rsid w:val="00A61817"/>
    <w:rsid w:val="00A63D4A"/>
    <w:rsid w:val="00A66B76"/>
    <w:rsid w:val="00A76CBD"/>
    <w:rsid w:val="00A83626"/>
    <w:rsid w:val="00AB2E5B"/>
    <w:rsid w:val="00AD2265"/>
    <w:rsid w:val="00AE58C1"/>
    <w:rsid w:val="00AF5B50"/>
    <w:rsid w:val="00AF5C3E"/>
    <w:rsid w:val="00B620A5"/>
    <w:rsid w:val="00B909C5"/>
    <w:rsid w:val="00B95562"/>
    <w:rsid w:val="00BA3714"/>
    <w:rsid w:val="00BB3D24"/>
    <w:rsid w:val="00BB6055"/>
    <w:rsid w:val="00BB652A"/>
    <w:rsid w:val="00BC15CF"/>
    <w:rsid w:val="00BC3207"/>
    <w:rsid w:val="00BE04B1"/>
    <w:rsid w:val="00BE0F7C"/>
    <w:rsid w:val="00BE1D97"/>
    <w:rsid w:val="00BE6CA0"/>
    <w:rsid w:val="00BF1738"/>
    <w:rsid w:val="00C0701B"/>
    <w:rsid w:val="00C07E0B"/>
    <w:rsid w:val="00C100A2"/>
    <w:rsid w:val="00C12435"/>
    <w:rsid w:val="00C2558A"/>
    <w:rsid w:val="00C307A8"/>
    <w:rsid w:val="00C34741"/>
    <w:rsid w:val="00C3561D"/>
    <w:rsid w:val="00C61666"/>
    <w:rsid w:val="00C61B67"/>
    <w:rsid w:val="00C67B17"/>
    <w:rsid w:val="00C700F8"/>
    <w:rsid w:val="00C8486C"/>
    <w:rsid w:val="00CA502F"/>
    <w:rsid w:val="00CB373E"/>
    <w:rsid w:val="00CB5004"/>
    <w:rsid w:val="00CC693D"/>
    <w:rsid w:val="00CE5519"/>
    <w:rsid w:val="00CF7084"/>
    <w:rsid w:val="00D042BA"/>
    <w:rsid w:val="00D16681"/>
    <w:rsid w:val="00D56AE5"/>
    <w:rsid w:val="00D57AF9"/>
    <w:rsid w:val="00D91C07"/>
    <w:rsid w:val="00D96972"/>
    <w:rsid w:val="00DB6DDB"/>
    <w:rsid w:val="00DC159D"/>
    <w:rsid w:val="00DC305C"/>
    <w:rsid w:val="00DC4D28"/>
    <w:rsid w:val="00DC5DA8"/>
    <w:rsid w:val="00DE082F"/>
    <w:rsid w:val="00DE2204"/>
    <w:rsid w:val="00DF34B2"/>
    <w:rsid w:val="00DF5B68"/>
    <w:rsid w:val="00DF7956"/>
    <w:rsid w:val="00E21AB6"/>
    <w:rsid w:val="00E346B4"/>
    <w:rsid w:val="00E51E25"/>
    <w:rsid w:val="00E576B1"/>
    <w:rsid w:val="00E612BD"/>
    <w:rsid w:val="00E7633B"/>
    <w:rsid w:val="00E80AC1"/>
    <w:rsid w:val="00E81CB8"/>
    <w:rsid w:val="00EA533B"/>
    <w:rsid w:val="00EB4EC5"/>
    <w:rsid w:val="00EE16D9"/>
    <w:rsid w:val="00EE67B7"/>
    <w:rsid w:val="00EF4084"/>
    <w:rsid w:val="00F1097D"/>
    <w:rsid w:val="00F178D7"/>
    <w:rsid w:val="00F31588"/>
    <w:rsid w:val="00F53221"/>
    <w:rsid w:val="00F57909"/>
    <w:rsid w:val="00F65E49"/>
    <w:rsid w:val="00F67066"/>
    <w:rsid w:val="00F95FD1"/>
    <w:rsid w:val="00FA10A1"/>
    <w:rsid w:val="00FA4EFA"/>
    <w:rsid w:val="00FC38F1"/>
    <w:rsid w:val="00FC3BA7"/>
    <w:rsid w:val="00FC4AEB"/>
    <w:rsid w:val="00FD18DD"/>
    <w:rsid w:val="00FE028D"/>
    <w:rsid w:val="00FE0553"/>
    <w:rsid w:val="00FE17B7"/>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AF2C"/>
  <w15:docId w15:val="{DCA036CE-5F08-41E8-AB9E-9860E847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8F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50F"/>
    <w:rPr>
      <w:color w:val="0000FF" w:themeColor="hyperlink"/>
      <w:u w:val="single"/>
    </w:rPr>
  </w:style>
  <w:style w:type="paragraph" w:styleId="DocumentMap">
    <w:name w:val="Document Map"/>
    <w:basedOn w:val="Normal"/>
    <w:link w:val="DocumentMapChar"/>
    <w:uiPriority w:val="99"/>
    <w:semiHidden/>
    <w:unhideWhenUsed/>
    <w:rsid w:val="00BE6CA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6CA0"/>
    <w:rPr>
      <w:rFonts w:ascii="Tahoma" w:hAnsi="Tahoma" w:cs="Tahoma"/>
      <w:sz w:val="16"/>
      <w:szCs w:val="16"/>
    </w:rPr>
  </w:style>
  <w:style w:type="paragraph" w:styleId="Header">
    <w:name w:val="header"/>
    <w:basedOn w:val="Normal"/>
    <w:link w:val="HeaderChar"/>
    <w:uiPriority w:val="99"/>
    <w:unhideWhenUsed/>
    <w:rsid w:val="002578F5"/>
    <w:pPr>
      <w:tabs>
        <w:tab w:val="center" w:pos="4680"/>
        <w:tab w:val="right" w:pos="9360"/>
      </w:tabs>
      <w:spacing w:before="0" w:after="0"/>
    </w:pPr>
  </w:style>
  <w:style w:type="character" w:customStyle="1" w:styleId="HeaderChar">
    <w:name w:val="Header Char"/>
    <w:basedOn w:val="DefaultParagraphFont"/>
    <w:link w:val="Header"/>
    <w:uiPriority w:val="99"/>
    <w:rsid w:val="002578F5"/>
  </w:style>
  <w:style w:type="paragraph" w:styleId="Footer">
    <w:name w:val="footer"/>
    <w:basedOn w:val="Normal"/>
    <w:link w:val="FooterChar"/>
    <w:uiPriority w:val="99"/>
    <w:unhideWhenUsed/>
    <w:rsid w:val="002578F5"/>
    <w:pPr>
      <w:tabs>
        <w:tab w:val="center" w:pos="4680"/>
        <w:tab w:val="right" w:pos="9360"/>
      </w:tabs>
      <w:spacing w:before="0" w:after="0"/>
    </w:pPr>
  </w:style>
  <w:style w:type="character" w:customStyle="1" w:styleId="FooterChar">
    <w:name w:val="Footer Char"/>
    <w:basedOn w:val="DefaultParagraphFont"/>
    <w:link w:val="Footer"/>
    <w:uiPriority w:val="99"/>
    <w:rsid w:val="002578F5"/>
  </w:style>
  <w:style w:type="paragraph" w:styleId="BalloonText">
    <w:name w:val="Balloon Text"/>
    <w:basedOn w:val="Normal"/>
    <w:link w:val="BalloonTextChar"/>
    <w:uiPriority w:val="99"/>
    <w:semiHidden/>
    <w:unhideWhenUsed/>
    <w:rsid w:val="002578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F5"/>
    <w:rPr>
      <w:rFonts w:ascii="Tahoma" w:hAnsi="Tahoma" w:cs="Tahoma"/>
      <w:sz w:val="16"/>
      <w:szCs w:val="16"/>
    </w:rPr>
  </w:style>
  <w:style w:type="paragraph" w:styleId="ListParagraph">
    <w:name w:val="List Paragraph"/>
    <w:basedOn w:val="Normal"/>
    <w:uiPriority w:val="34"/>
    <w:qFormat/>
    <w:rsid w:val="006C2E9C"/>
    <w:pPr>
      <w:ind w:left="720"/>
      <w:contextualSpacing/>
    </w:pPr>
  </w:style>
  <w:style w:type="paragraph" w:customStyle="1" w:styleId="Default">
    <w:name w:val="Default"/>
    <w:rsid w:val="004C32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178D7"/>
  </w:style>
  <w:style w:type="paragraph" w:styleId="CommentText">
    <w:name w:val="annotation text"/>
    <w:basedOn w:val="Normal"/>
    <w:link w:val="CommentTextChar"/>
    <w:uiPriority w:val="99"/>
    <w:semiHidden/>
    <w:unhideWhenUsed/>
    <w:rsid w:val="00166ABA"/>
    <w:rPr>
      <w:sz w:val="20"/>
      <w:szCs w:val="20"/>
    </w:rPr>
  </w:style>
  <w:style w:type="character" w:customStyle="1" w:styleId="CommentTextChar">
    <w:name w:val="Comment Text Char"/>
    <w:basedOn w:val="DefaultParagraphFont"/>
    <w:link w:val="CommentText"/>
    <w:uiPriority w:val="99"/>
    <w:semiHidden/>
    <w:rsid w:val="00166A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104">
      <w:bodyDiv w:val="1"/>
      <w:marLeft w:val="0"/>
      <w:marRight w:val="0"/>
      <w:marTop w:val="0"/>
      <w:marBottom w:val="0"/>
      <w:divBdr>
        <w:top w:val="none" w:sz="0" w:space="0" w:color="auto"/>
        <w:left w:val="none" w:sz="0" w:space="0" w:color="auto"/>
        <w:bottom w:val="none" w:sz="0" w:space="0" w:color="auto"/>
        <w:right w:val="none" w:sz="0" w:space="0" w:color="auto"/>
      </w:divBdr>
    </w:div>
    <w:div w:id="16994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da.gov/wps/portal/usda/usdahome?navid=WB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18</cp:revision>
  <cp:lastPrinted>2015-11-03T16:14:00Z</cp:lastPrinted>
  <dcterms:created xsi:type="dcterms:W3CDTF">2017-03-13T14:22:00Z</dcterms:created>
  <dcterms:modified xsi:type="dcterms:W3CDTF">2017-03-13T16:13:00Z</dcterms:modified>
</cp:coreProperties>
</file>