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E1" w:rsidRDefault="00CC22E1"/>
    <w:p w:rsidR="00CC22E1" w:rsidRDefault="00702BDC" w:rsidP="00B1718A">
      <w:pPr>
        <w:pBdr>
          <w:bottom w:val="single" w:sz="12" w:space="1" w:color="auto"/>
        </w:pBdr>
        <w:outlineLvl w:val="0"/>
        <w:rPr>
          <w:sz w:val="44"/>
          <w:szCs w:val="44"/>
        </w:rPr>
      </w:pPr>
      <w:r>
        <w:rPr>
          <w:sz w:val="44"/>
          <w:szCs w:val="44"/>
        </w:rPr>
        <w:t xml:space="preserve">Gender </w:t>
      </w:r>
      <w:r w:rsidR="00CC22E1">
        <w:rPr>
          <w:sz w:val="44"/>
          <w:szCs w:val="44"/>
        </w:rPr>
        <w:t>Task Force</w:t>
      </w:r>
    </w:p>
    <w:p w:rsidR="00CC22E1" w:rsidRDefault="006231A6" w:rsidP="00B1718A">
      <w:pPr>
        <w:pBdr>
          <w:bottom w:val="single" w:sz="12" w:space="1" w:color="auto"/>
        </w:pBdr>
        <w:outlineLvl w:val="0"/>
        <w:rPr>
          <w:sz w:val="44"/>
          <w:szCs w:val="44"/>
        </w:rPr>
      </w:pPr>
      <w:r>
        <w:rPr>
          <w:sz w:val="44"/>
          <w:szCs w:val="44"/>
        </w:rPr>
        <w:t>FY13</w:t>
      </w:r>
      <w:r w:rsidR="00CC22E1">
        <w:rPr>
          <w:sz w:val="44"/>
          <w:szCs w:val="44"/>
        </w:rPr>
        <w:t xml:space="preserve"> </w:t>
      </w:r>
      <w:proofErr w:type="spellStart"/>
      <w:r w:rsidR="00CC22E1">
        <w:rPr>
          <w:sz w:val="44"/>
          <w:szCs w:val="44"/>
        </w:rPr>
        <w:t>Workplan</w:t>
      </w:r>
      <w:proofErr w:type="spellEnd"/>
      <w:r w:rsidR="00CC22E1">
        <w:rPr>
          <w:sz w:val="44"/>
          <w:szCs w:val="44"/>
        </w:rPr>
        <w:t xml:space="preserve">:  </w:t>
      </w:r>
      <w:r>
        <w:rPr>
          <w:sz w:val="44"/>
          <w:szCs w:val="44"/>
        </w:rPr>
        <w:t>October</w:t>
      </w:r>
      <w:r w:rsidR="00CC22E1">
        <w:rPr>
          <w:sz w:val="44"/>
          <w:szCs w:val="44"/>
        </w:rPr>
        <w:t xml:space="preserve"> 2012 – </w:t>
      </w:r>
      <w:r>
        <w:rPr>
          <w:sz w:val="44"/>
          <w:szCs w:val="44"/>
        </w:rPr>
        <w:t>September</w:t>
      </w:r>
      <w:r w:rsidR="00CC22E1">
        <w:rPr>
          <w:sz w:val="44"/>
          <w:szCs w:val="44"/>
        </w:rPr>
        <w:t xml:space="preserve"> 201</w:t>
      </w:r>
      <w:r>
        <w:rPr>
          <w:sz w:val="44"/>
          <w:szCs w:val="44"/>
        </w:rPr>
        <w:t>3</w:t>
      </w:r>
      <w:r w:rsidR="00CC22E1">
        <w:rPr>
          <w:sz w:val="44"/>
          <w:szCs w:val="44"/>
        </w:rPr>
        <w:t xml:space="preserve"> </w:t>
      </w:r>
    </w:p>
    <w:p w:rsidR="00595624" w:rsidRDefault="00CC22E1" w:rsidP="00702BDC">
      <w:pPr>
        <w:pStyle w:val="letterstyle"/>
        <w:spacing w:after="0"/>
        <w:rPr>
          <w:sz w:val="22"/>
          <w:szCs w:val="22"/>
        </w:rPr>
      </w:pPr>
      <w:r w:rsidRPr="002C6B37">
        <w:rPr>
          <w:b/>
        </w:rPr>
        <w:t>Vision:</w:t>
      </w:r>
      <w:r>
        <w:rPr>
          <w:b/>
        </w:rPr>
        <w:t xml:space="preserve">  </w:t>
      </w:r>
      <w:r w:rsidR="00702BDC" w:rsidRPr="00C42AA7">
        <w:rPr>
          <w:sz w:val="22"/>
          <w:szCs w:val="22"/>
        </w:rPr>
        <w:t>The Food Security and Nutrition Network Gender Task Force is a community of technical specialists and practitioners working to improve the integration of gender equality and women's and girls' empowerment into food security and nutrition programming.  It is composed of representatives from NGO Title II grantees and partner organizations in government, academia and the private sector.  It provides an inclusive forum for sharing, adapting, refining and disseminating information, methodologies, tools and promising practices on gender integration for increasing the impact of food security programs</w:t>
      </w:r>
      <w:r w:rsidR="00702BDC">
        <w:rPr>
          <w:sz w:val="22"/>
          <w:szCs w:val="22"/>
        </w:rPr>
        <w:t>.</w:t>
      </w:r>
    </w:p>
    <w:p w:rsidR="00CC22E1" w:rsidRPr="00DA3E29" w:rsidRDefault="00CC22E1" w:rsidP="00DA3E29">
      <w:pPr>
        <w:widowControl w:val="0"/>
        <w:rPr>
          <w:rFonts w:ascii="Arial" w:hAnsi="Arial" w:cs="Arial"/>
          <w:i/>
          <w:iCs/>
          <w:kern w:val="24"/>
          <w:highlight w:val="yellow"/>
        </w:rPr>
      </w:pPr>
    </w:p>
    <w:p w:rsidR="006710A2" w:rsidRDefault="00CC22E1" w:rsidP="006710A2">
      <w:pPr>
        <w:spacing w:after="0"/>
        <w:outlineLvl w:val="0"/>
        <w:rPr>
          <w:b/>
          <w:sz w:val="24"/>
          <w:szCs w:val="24"/>
        </w:rPr>
      </w:pPr>
      <w:r w:rsidRPr="002C6B37">
        <w:rPr>
          <w:b/>
          <w:sz w:val="24"/>
          <w:szCs w:val="24"/>
        </w:rPr>
        <w:t xml:space="preserve">Objectives for </w:t>
      </w:r>
      <w:r>
        <w:rPr>
          <w:b/>
          <w:sz w:val="24"/>
          <w:szCs w:val="24"/>
        </w:rPr>
        <w:t>2012 - 2015</w:t>
      </w:r>
      <w:r w:rsidRPr="002C6B37">
        <w:rPr>
          <w:b/>
          <w:sz w:val="24"/>
          <w:szCs w:val="24"/>
        </w:rPr>
        <w:t>:</w:t>
      </w:r>
      <w:r>
        <w:rPr>
          <w:b/>
          <w:sz w:val="24"/>
          <w:szCs w:val="24"/>
        </w:rPr>
        <w:t xml:space="preserve">  </w:t>
      </w:r>
    </w:p>
    <w:p w:rsidR="00CC22E1" w:rsidRPr="006710A2" w:rsidRDefault="00E6279B" w:rsidP="006710A2">
      <w:pPr>
        <w:pStyle w:val="ListParagraph"/>
        <w:numPr>
          <w:ilvl w:val="0"/>
          <w:numId w:val="8"/>
        </w:numPr>
        <w:spacing w:after="0"/>
        <w:outlineLvl w:val="0"/>
        <w:rPr>
          <w:sz w:val="24"/>
          <w:szCs w:val="24"/>
        </w:rPr>
      </w:pPr>
      <w:r w:rsidRPr="006710A2">
        <w:rPr>
          <w:sz w:val="24"/>
          <w:szCs w:val="24"/>
        </w:rPr>
        <w:t>To aggregate key resources integral to advancing gender equ</w:t>
      </w:r>
      <w:r w:rsidR="006231A6">
        <w:rPr>
          <w:sz w:val="24"/>
          <w:szCs w:val="24"/>
        </w:rPr>
        <w:t>ity</w:t>
      </w:r>
      <w:r w:rsidRPr="006710A2">
        <w:rPr>
          <w:sz w:val="24"/>
          <w:szCs w:val="24"/>
        </w:rPr>
        <w:t xml:space="preserve"> and empowerment in food security programming.</w:t>
      </w:r>
    </w:p>
    <w:p w:rsidR="00CC22E1" w:rsidRPr="00B805ED" w:rsidRDefault="00E6279B" w:rsidP="006710A2">
      <w:pPr>
        <w:pStyle w:val="ListParagraph"/>
        <w:numPr>
          <w:ilvl w:val="0"/>
          <w:numId w:val="8"/>
        </w:numPr>
        <w:spacing w:after="0"/>
        <w:rPr>
          <w:sz w:val="24"/>
          <w:szCs w:val="24"/>
        </w:rPr>
      </w:pPr>
      <w:r w:rsidRPr="00B805ED">
        <w:rPr>
          <w:sz w:val="24"/>
          <w:szCs w:val="24"/>
        </w:rPr>
        <w:t>To produce resources aiding in addressing knowledge gaps and analysis.</w:t>
      </w:r>
    </w:p>
    <w:p w:rsidR="00E6279B" w:rsidRPr="00B805ED" w:rsidRDefault="00E6279B" w:rsidP="006710A2">
      <w:pPr>
        <w:pStyle w:val="ListParagraph"/>
        <w:numPr>
          <w:ilvl w:val="0"/>
          <w:numId w:val="8"/>
        </w:numPr>
        <w:spacing w:after="0"/>
        <w:rPr>
          <w:sz w:val="24"/>
          <w:szCs w:val="24"/>
        </w:rPr>
      </w:pPr>
      <w:r w:rsidRPr="00B805ED">
        <w:rPr>
          <w:sz w:val="24"/>
          <w:szCs w:val="24"/>
        </w:rPr>
        <w:t>To develop mechanisms to provide knowledge resources.</w:t>
      </w:r>
    </w:p>
    <w:p w:rsidR="00E6279B" w:rsidRPr="00B805ED" w:rsidRDefault="00E6279B" w:rsidP="006710A2">
      <w:pPr>
        <w:pStyle w:val="ListParagraph"/>
        <w:numPr>
          <w:ilvl w:val="0"/>
          <w:numId w:val="8"/>
        </w:numPr>
        <w:spacing w:after="0"/>
        <w:rPr>
          <w:sz w:val="24"/>
          <w:szCs w:val="24"/>
        </w:rPr>
      </w:pPr>
      <w:r w:rsidRPr="00B805ED">
        <w:rPr>
          <w:sz w:val="24"/>
          <w:szCs w:val="24"/>
        </w:rPr>
        <w:t>To deliver resources to program implementers.</w:t>
      </w:r>
    </w:p>
    <w:p w:rsidR="006710A2" w:rsidRDefault="006710A2" w:rsidP="006710A2">
      <w:pPr>
        <w:spacing w:after="0"/>
        <w:outlineLvl w:val="0"/>
        <w:rPr>
          <w:b/>
          <w:sz w:val="24"/>
          <w:szCs w:val="24"/>
        </w:rPr>
      </w:pPr>
    </w:p>
    <w:p w:rsidR="006710A2" w:rsidRDefault="00E6279B" w:rsidP="006710A2">
      <w:pPr>
        <w:spacing w:after="0"/>
        <w:outlineLvl w:val="0"/>
        <w:rPr>
          <w:b/>
          <w:sz w:val="24"/>
          <w:szCs w:val="24"/>
        </w:rPr>
      </w:pPr>
      <w:r>
        <w:rPr>
          <w:b/>
          <w:sz w:val="24"/>
          <w:szCs w:val="24"/>
        </w:rPr>
        <w:t>Key Deliverables</w:t>
      </w:r>
    </w:p>
    <w:p w:rsidR="006710A2" w:rsidRPr="006710A2" w:rsidRDefault="006710A2" w:rsidP="006710A2">
      <w:pPr>
        <w:spacing w:after="0"/>
        <w:outlineLvl w:val="0"/>
        <w:rPr>
          <w:sz w:val="24"/>
          <w:szCs w:val="24"/>
        </w:rPr>
      </w:pPr>
    </w:p>
    <w:p w:rsidR="006710A2" w:rsidRDefault="006710A2" w:rsidP="006710A2">
      <w:pPr>
        <w:spacing w:after="0"/>
        <w:outlineLvl w:val="0"/>
        <w:rPr>
          <w:sz w:val="24"/>
          <w:szCs w:val="24"/>
        </w:rPr>
      </w:pPr>
      <w:r w:rsidRPr="006710A2">
        <w:rPr>
          <w:sz w:val="24"/>
          <w:szCs w:val="24"/>
        </w:rPr>
        <w:t>Mapping of key gender contacts (Title II implementers and resource organizations)</w:t>
      </w:r>
      <w:r w:rsidR="006231A6">
        <w:rPr>
          <w:sz w:val="24"/>
          <w:szCs w:val="24"/>
        </w:rPr>
        <w:t>.</w:t>
      </w:r>
    </w:p>
    <w:p w:rsidR="006710A2" w:rsidRDefault="006710A2" w:rsidP="006710A2">
      <w:pPr>
        <w:spacing w:after="0"/>
        <w:outlineLvl w:val="0"/>
        <w:rPr>
          <w:sz w:val="24"/>
          <w:szCs w:val="24"/>
        </w:rPr>
      </w:pPr>
      <w:r>
        <w:rPr>
          <w:sz w:val="24"/>
          <w:szCs w:val="24"/>
        </w:rPr>
        <w:t>Identify key/preferred tools</w:t>
      </w:r>
      <w:r w:rsidR="006231A6">
        <w:rPr>
          <w:sz w:val="24"/>
          <w:szCs w:val="24"/>
        </w:rPr>
        <w:t>, including e-learning.</w:t>
      </w:r>
    </w:p>
    <w:p w:rsidR="006231A6" w:rsidRPr="006710A2" w:rsidRDefault="006231A6" w:rsidP="006710A2">
      <w:pPr>
        <w:spacing w:after="0"/>
        <w:outlineLvl w:val="0"/>
        <w:rPr>
          <w:sz w:val="24"/>
          <w:szCs w:val="24"/>
        </w:rPr>
      </w:pPr>
      <w:r>
        <w:rPr>
          <w:sz w:val="24"/>
          <w:szCs w:val="24"/>
        </w:rPr>
        <w:t>Identify gaps in tools and resources.</w:t>
      </w:r>
      <w:r>
        <w:rPr>
          <w:sz w:val="24"/>
          <w:szCs w:val="24"/>
        </w:rPr>
        <w:br/>
        <w:t>Develop/modify tools as identified.</w:t>
      </w:r>
    </w:p>
    <w:p w:rsidR="00CC22E1" w:rsidRPr="003302C6" w:rsidRDefault="006710A2" w:rsidP="003302C6">
      <w:pPr>
        <w:outlineLvl w:val="0"/>
        <w:rPr>
          <w:sz w:val="24"/>
          <w:szCs w:val="24"/>
        </w:rPr>
      </w:pPr>
      <w:r>
        <w:rPr>
          <w:b/>
          <w:sz w:val="24"/>
          <w:szCs w:val="24"/>
        </w:rPr>
        <w:t>C</w:t>
      </w:r>
      <w:r w:rsidR="00CC22E1">
        <w:rPr>
          <w:b/>
          <w:sz w:val="24"/>
          <w:szCs w:val="24"/>
        </w:rPr>
        <w:t>o-chairs</w:t>
      </w:r>
      <w:r>
        <w:rPr>
          <w:b/>
          <w:sz w:val="24"/>
          <w:szCs w:val="24"/>
        </w:rPr>
        <w:t xml:space="preserve">:   </w:t>
      </w:r>
      <w:r w:rsidR="001C62FA" w:rsidRPr="006710A2">
        <w:rPr>
          <w:b/>
          <w:sz w:val="24"/>
          <w:szCs w:val="24"/>
        </w:rPr>
        <w:t xml:space="preserve">Melissa Teuber and Kristi Tabaj </w:t>
      </w:r>
    </w:p>
    <w:p w:rsidR="00CC22E1" w:rsidRDefault="00CC22E1" w:rsidP="00B1718A">
      <w:pPr>
        <w:spacing w:after="0" w:line="240" w:lineRule="auto"/>
        <w:rPr>
          <w:b/>
          <w:sz w:val="24"/>
          <w:szCs w:val="24"/>
        </w:rPr>
      </w:pPr>
      <w:r>
        <w:rPr>
          <w:b/>
          <w:sz w:val="24"/>
          <w:szCs w:val="24"/>
        </w:rPr>
        <w:br w:type="page"/>
      </w:r>
    </w:p>
    <w:p w:rsidR="00CC22E1" w:rsidRPr="00E6279B" w:rsidRDefault="006231A6" w:rsidP="003F3A43">
      <w:pPr>
        <w:ind w:left="270"/>
        <w:outlineLvl w:val="0"/>
        <w:rPr>
          <w:b/>
          <w:sz w:val="24"/>
          <w:szCs w:val="24"/>
        </w:rPr>
      </w:pPr>
      <w:r>
        <w:rPr>
          <w:b/>
          <w:sz w:val="24"/>
          <w:szCs w:val="24"/>
        </w:rPr>
        <w:lastRenderedPageBreak/>
        <w:t>FY13</w:t>
      </w:r>
      <w:r w:rsidR="00CC22E1" w:rsidRPr="00E6279B">
        <w:rPr>
          <w:b/>
          <w:sz w:val="24"/>
          <w:szCs w:val="24"/>
        </w:rPr>
        <w:t xml:space="preserve"> </w:t>
      </w:r>
      <w:proofErr w:type="spellStart"/>
      <w:r w:rsidR="00CC22E1" w:rsidRPr="00E6279B">
        <w:rPr>
          <w:b/>
          <w:sz w:val="24"/>
          <w:szCs w:val="24"/>
        </w:rPr>
        <w:t>Workplan</w:t>
      </w:r>
      <w:proofErr w:type="spellEnd"/>
      <w:r w:rsidR="00CC22E1" w:rsidRPr="00E6279B">
        <w:rPr>
          <w:b/>
          <w:sz w:val="24"/>
          <w:szCs w:val="24"/>
        </w:rPr>
        <w:t xml:space="preserve"> </w:t>
      </w:r>
      <w:r w:rsidR="00CC22E1" w:rsidRPr="00E6279B">
        <w:rPr>
          <w:sz w:val="24"/>
          <w:szCs w:val="24"/>
        </w:rPr>
        <w:t>–</w:t>
      </w:r>
      <w:r w:rsidR="00702BDC" w:rsidRPr="00E6279B">
        <w:rPr>
          <w:sz w:val="24"/>
          <w:szCs w:val="24"/>
        </w:rPr>
        <w:t xml:space="preserve">Gender </w:t>
      </w:r>
      <w:r w:rsidR="000047C9" w:rsidRPr="00E6279B">
        <w:rPr>
          <w:sz w:val="24"/>
          <w:szCs w:val="24"/>
        </w:rPr>
        <w:t>Task Force</w:t>
      </w:r>
    </w:p>
    <w:tbl>
      <w:tblPr>
        <w:tblW w:w="1252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8"/>
        <w:gridCol w:w="2970"/>
        <w:gridCol w:w="1800"/>
        <w:gridCol w:w="3240"/>
        <w:gridCol w:w="1530"/>
      </w:tblGrid>
      <w:tr w:rsidR="000047C9" w:rsidRPr="009F7A8B" w:rsidTr="00203F6A">
        <w:trPr>
          <w:tblHeader/>
        </w:trPr>
        <w:tc>
          <w:tcPr>
            <w:tcW w:w="2988" w:type="dxa"/>
            <w:tcBorders>
              <w:bottom w:val="single" w:sz="4" w:space="0" w:color="000000"/>
            </w:tcBorders>
            <w:shd w:val="clear" w:color="auto" w:fill="8DB3E2" w:themeFill="text2" w:themeFillTint="66"/>
          </w:tcPr>
          <w:p w:rsidR="00DD0444" w:rsidRDefault="000047C9" w:rsidP="00DF7122">
            <w:pPr>
              <w:spacing w:after="0" w:line="240" w:lineRule="auto"/>
              <w:rPr>
                <w:b/>
              </w:rPr>
            </w:pPr>
            <w:r w:rsidRPr="002C6B37">
              <w:rPr>
                <w:b/>
              </w:rPr>
              <w:t>What is the activity? (title, brief description)</w:t>
            </w:r>
          </w:p>
          <w:p w:rsidR="000047C9" w:rsidRPr="00DD0444" w:rsidRDefault="000047C9" w:rsidP="00DD0444">
            <w:pPr>
              <w:ind w:firstLine="720"/>
            </w:pPr>
          </w:p>
        </w:tc>
        <w:tc>
          <w:tcPr>
            <w:tcW w:w="2970" w:type="dxa"/>
            <w:tcBorders>
              <w:bottom w:val="single" w:sz="4" w:space="0" w:color="000000"/>
            </w:tcBorders>
            <w:shd w:val="clear" w:color="auto" w:fill="8DB3E2" w:themeFill="text2" w:themeFillTint="66"/>
          </w:tcPr>
          <w:p w:rsidR="000047C9" w:rsidRPr="002C6B37" w:rsidRDefault="000047C9" w:rsidP="00DF7122">
            <w:pPr>
              <w:spacing w:after="0" w:line="240" w:lineRule="auto"/>
              <w:rPr>
                <w:b/>
              </w:rPr>
            </w:pPr>
            <w:r w:rsidRPr="002C6B37">
              <w:rPr>
                <w:b/>
              </w:rPr>
              <w:t xml:space="preserve">How </w:t>
            </w:r>
            <w:r>
              <w:rPr>
                <w:b/>
              </w:rPr>
              <w:t>will this activity work to strengthen food security and nutrition implementation?  / What linkages can be found with other Task Forces or emerging interest areas?</w:t>
            </w:r>
          </w:p>
        </w:tc>
        <w:tc>
          <w:tcPr>
            <w:tcW w:w="1800" w:type="dxa"/>
            <w:tcBorders>
              <w:bottom w:val="single" w:sz="4" w:space="0" w:color="000000"/>
            </w:tcBorders>
            <w:shd w:val="clear" w:color="auto" w:fill="8DB3E2" w:themeFill="text2" w:themeFillTint="66"/>
          </w:tcPr>
          <w:p w:rsidR="000047C9" w:rsidRPr="002C6B37" w:rsidRDefault="000047C9" w:rsidP="00DF7122">
            <w:pPr>
              <w:spacing w:after="0" w:line="240" w:lineRule="auto"/>
              <w:rPr>
                <w:b/>
              </w:rPr>
            </w:pPr>
            <w:r w:rsidRPr="002C6B37">
              <w:rPr>
                <w:b/>
              </w:rPr>
              <w:t>Point person</w:t>
            </w:r>
            <w:r>
              <w:rPr>
                <w:b/>
              </w:rPr>
              <w:t xml:space="preserve"> (underlined) </w:t>
            </w:r>
          </w:p>
          <w:p w:rsidR="000047C9" w:rsidRPr="002C6B37" w:rsidRDefault="000047C9" w:rsidP="00DF7122">
            <w:pPr>
              <w:spacing w:after="0" w:line="240" w:lineRule="auto"/>
              <w:rPr>
                <w:b/>
              </w:rPr>
            </w:pPr>
            <w:r w:rsidRPr="002C6B37">
              <w:rPr>
                <w:b/>
              </w:rPr>
              <w:t>Lead:</w:t>
            </w:r>
          </w:p>
        </w:tc>
        <w:tc>
          <w:tcPr>
            <w:tcW w:w="3240" w:type="dxa"/>
            <w:tcBorders>
              <w:bottom w:val="single" w:sz="4" w:space="0" w:color="000000"/>
            </w:tcBorders>
            <w:shd w:val="clear" w:color="auto" w:fill="8DB3E2" w:themeFill="text2" w:themeFillTint="66"/>
          </w:tcPr>
          <w:p w:rsidR="000047C9" w:rsidRPr="002C6B37" w:rsidRDefault="000047C9" w:rsidP="00DF7122">
            <w:pPr>
              <w:spacing w:after="0" w:line="240" w:lineRule="auto"/>
              <w:rPr>
                <w:b/>
              </w:rPr>
            </w:pPr>
            <w:r w:rsidRPr="002C6B37">
              <w:rPr>
                <w:b/>
              </w:rPr>
              <w:t>How will the activity be taken forward? (Implementation steps)</w:t>
            </w:r>
          </w:p>
        </w:tc>
        <w:tc>
          <w:tcPr>
            <w:tcW w:w="1530" w:type="dxa"/>
            <w:tcBorders>
              <w:bottom w:val="single" w:sz="4" w:space="0" w:color="000000"/>
            </w:tcBorders>
            <w:shd w:val="clear" w:color="auto" w:fill="8DB3E2" w:themeFill="text2" w:themeFillTint="66"/>
          </w:tcPr>
          <w:p w:rsidR="000047C9" w:rsidRPr="002C6B37" w:rsidRDefault="000047C9" w:rsidP="00DF7122">
            <w:pPr>
              <w:spacing w:after="0" w:line="240" w:lineRule="auto"/>
              <w:rPr>
                <w:b/>
              </w:rPr>
            </w:pPr>
            <w:r w:rsidRPr="002C6B37">
              <w:rPr>
                <w:b/>
              </w:rPr>
              <w:t>Complete by:</w:t>
            </w:r>
            <w:r>
              <w:rPr>
                <w:b/>
              </w:rPr>
              <w:t xml:space="preserve"> (include date for milestones)</w:t>
            </w:r>
          </w:p>
        </w:tc>
      </w:tr>
      <w:tr w:rsidR="000047C9" w:rsidRPr="009F7A8B" w:rsidTr="00DD0444">
        <w:tc>
          <w:tcPr>
            <w:tcW w:w="12528" w:type="dxa"/>
            <w:gridSpan w:val="5"/>
            <w:shd w:val="clear" w:color="auto" w:fill="C2D69B" w:themeFill="accent3" w:themeFillTint="99"/>
          </w:tcPr>
          <w:p w:rsidR="000047C9" w:rsidRPr="00DD0444" w:rsidRDefault="000047C9" w:rsidP="002127D5">
            <w:pPr>
              <w:spacing w:after="0" w:line="240" w:lineRule="auto"/>
              <w:rPr>
                <w:b/>
              </w:rPr>
            </w:pPr>
            <w:r w:rsidRPr="00DD0444">
              <w:rPr>
                <w:b/>
              </w:rPr>
              <w:t>1. KNOWLEDGE CAPTURE: Knowledge and skill needs of audiences identified.</w:t>
            </w:r>
          </w:p>
        </w:tc>
      </w:tr>
      <w:tr w:rsidR="00385EF8" w:rsidRPr="004036DC" w:rsidTr="00203F6A">
        <w:trPr>
          <w:trHeight w:val="881"/>
        </w:trPr>
        <w:tc>
          <w:tcPr>
            <w:tcW w:w="2988" w:type="dxa"/>
            <w:shd w:val="clear" w:color="auto" w:fill="FFFFFF" w:themeFill="background1"/>
            <w:vAlign w:val="center"/>
          </w:tcPr>
          <w:p w:rsidR="00385EF8" w:rsidRPr="001C1AC5" w:rsidDel="006231A6" w:rsidRDefault="00385EF8" w:rsidP="00AB5915">
            <w:r>
              <w:t>Identify gaps in knowledge for gender integration in program design and implementation.</w:t>
            </w:r>
          </w:p>
        </w:tc>
        <w:tc>
          <w:tcPr>
            <w:tcW w:w="2970" w:type="dxa"/>
            <w:shd w:val="clear" w:color="auto" w:fill="FFFFFF" w:themeFill="background1"/>
          </w:tcPr>
          <w:p w:rsidR="00385EF8" w:rsidRDefault="00385EF8" w:rsidP="00DF7122">
            <w:pPr>
              <w:spacing w:after="0" w:line="240" w:lineRule="auto"/>
            </w:pPr>
            <w:r>
              <w:t xml:space="preserve">Understanding the gaps and addressing them through tools, training and knowledge sharing events will help to strengthen </w:t>
            </w:r>
            <w:r w:rsidR="001818B4">
              <w:t>programming and program design.</w:t>
            </w:r>
          </w:p>
        </w:tc>
        <w:tc>
          <w:tcPr>
            <w:tcW w:w="1800" w:type="dxa"/>
            <w:shd w:val="clear" w:color="auto" w:fill="FFFFFF" w:themeFill="background1"/>
          </w:tcPr>
          <w:p w:rsidR="00385EF8" w:rsidRDefault="001818B4" w:rsidP="00DF7122">
            <w:pPr>
              <w:spacing w:after="0" w:line="240" w:lineRule="auto"/>
              <w:rPr>
                <w:lang w:val="sv-SE"/>
              </w:rPr>
            </w:pPr>
            <w:r>
              <w:rPr>
                <w:lang w:val="sv-SE"/>
              </w:rPr>
              <w:t>Kristi</w:t>
            </w:r>
          </w:p>
        </w:tc>
        <w:tc>
          <w:tcPr>
            <w:tcW w:w="3240" w:type="dxa"/>
            <w:shd w:val="clear" w:color="auto" w:fill="FFFFFF" w:themeFill="background1"/>
          </w:tcPr>
          <w:p w:rsidR="00385EF8" w:rsidRPr="001C1AC5" w:rsidRDefault="001818B4" w:rsidP="00B805ED">
            <w:pPr>
              <w:pStyle w:val="ListParagraph"/>
              <w:numPr>
                <w:ilvl w:val="0"/>
                <w:numId w:val="10"/>
              </w:numPr>
              <w:spacing w:before="100" w:beforeAutospacing="1" w:after="100" w:afterAutospacing="1" w:line="240" w:lineRule="auto"/>
            </w:pPr>
            <w:r>
              <w:t xml:space="preserve">Brainstorm of gaps during </w:t>
            </w:r>
            <w:proofErr w:type="gramStart"/>
            <w:r>
              <w:t>Fall</w:t>
            </w:r>
            <w:proofErr w:type="gramEnd"/>
            <w:r>
              <w:t xml:space="preserve"> 2012 TF meetings, discussion forum, and via email.</w:t>
            </w:r>
          </w:p>
        </w:tc>
        <w:tc>
          <w:tcPr>
            <w:tcW w:w="1530" w:type="dxa"/>
            <w:shd w:val="clear" w:color="auto" w:fill="FFFFFF" w:themeFill="background1"/>
          </w:tcPr>
          <w:p w:rsidR="00385EF8" w:rsidRDefault="001818B4" w:rsidP="00DF7122">
            <w:pPr>
              <w:spacing w:after="0" w:line="240" w:lineRule="auto"/>
            </w:pPr>
            <w:r>
              <w:t>Ongoing, with initial target of Dec 2012.</w:t>
            </w:r>
          </w:p>
        </w:tc>
      </w:tr>
      <w:tr w:rsidR="000047C9" w:rsidRPr="004036DC" w:rsidTr="00203F6A">
        <w:trPr>
          <w:trHeight w:val="881"/>
        </w:trPr>
        <w:tc>
          <w:tcPr>
            <w:tcW w:w="2988" w:type="dxa"/>
            <w:shd w:val="clear" w:color="auto" w:fill="FFFFFF" w:themeFill="background1"/>
            <w:vAlign w:val="center"/>
          </w:tcPr>
          <w:p w:rsidR="00AB5915" w:rsidRPr="001C1AC5" w:rsidRDefault="006231A6" w:rsidP="00AB5915">
            <w:r>
              <w:t xml:space="preserve">Identify </w:t>
            </w:r>
            <w:r w:rsidR="00AB5915" w:rsidRPr="001C1AC5">
              <w:t>tools relating to gender and prioritize them for review against the core competencies</w:t>
            </w:r>
          </w:p>
          <w:p w:rsidR="000047C9" w:rsidRPr="001C1AC5" w:rsidRDefault="000047C9" w:rsidP="00DF7122">
            <w:pPr>
              <w:spacing w:after="0" w:line="240" w:lineRule="auto"/>
              <w:rPr>
                <w:i/>
              </w:rPr>
            </w:pPr>
          </w:p>
        </w:tc>
        <w:tc>
          <w:tcPr>
            <w:tcW w:w="2970" w:type="dxa"/>
            <w:shd w:val="clear" w:color="auto" w:fill="FFFFFF" w:themeFill="background1"/>
          </w:tcPr>
          <w:p w:rsidR="000047C9" w:rsidRPr="006710A2" w:rsidRDefault="006710A2" w:rsidP="00DF7122">
            <w:pPr>
              <w:spacing w:after="0" w:line="240" w:lineRule="auto"/>
            </w:pPr>
            <w:r>
              <w:t>The tools collected will assist organizations and program managers to further assess the skills and capabilities of both program staff and beneficiaries.  The tools can assist program staff in identifying specific activities targeting the appropriate audience</w:t>
            </w:r>
            <w:r w:rsidR="006231A6">
              <w:t xml:space="preserve"> or provide guidance on gender integration in program design</w:t>
            </w:r>
            <w:r>
              <w:t>.</w:t>
            </w:r>
          </w:p>
        </w:tc>
        <w:tc>
          <w:tcPr>
            <w:tcW w:w="1800" w:type="dxa"/>
            <w:shd w:val="clear" w:color="auto" w:fill="FFFFFF" w:themeFill="background1"/>
          </w:tcPr>
          <w:p w:rsidR="000047C9" w:rsidRPr="001C1AC5" w:rsidRDefault="004744DF" w:rsidP="00DF7122">
            <w:pPr>
              <w:spacing w:after="0" w:line="240" w:lineRule="auto"/>
              <w:rPr>
                <w:lang w:val="sv-SE"/>
              </w:rPr>
            </w:pPr>
            <w:r>
              <w:rPr>
                <w:lang w:val="sv-SE"/>
              </w:rPr>
              <w:t>Kristi/Melissa</w:t>
            </w:r>
          </w:p>
        </w:tc>
        <w:tc>
          <w:tcPr>
            <w:tcW w:w="3240" w:type="dxa"/>
            <w:shd w:val="clear" w:color="auto" w:fill="FFFFFF" w:themeFill="background1"/>
          </w:tcPr>
          <w:p w:rsidR="000047C9" w:rsidRPr="001C1AC5" w:rsidRDefault="00B805ED" w:rsidP="00B805ED">
            <w:pPr>
              <w:pStyle w:val="ListParagraph"/>
              <w:numPr>
                <w:ilvl w:val="0"/>
                <w:numId w:val="10"/>
              </w:numPr>
              <w:spacing w:before="100" w:beforeAutospacing="1" w:after="100" w:afterAutospacing="1" w:line="240" w:lineRule="auto"/>
            </w:pPr>
            <w:r w:rsidRPr="001C1AC5">
              <w:t>Solicit organizations for 3 (max) recommended tools (</w:t>
            </w:r>
            <w:r w:rsidR="006231A6">
              <w:t>FY12 Sep-Nov</w:t>
            </w:r>
            <w:r w:rsidRPr="001C1AC5">
              <w:t>).</w:t>
            </w:r>
          </w:p>
          <w:p w:rsidR="00385EF8" w:rsidRPr="001C1AC5" w:rsidRDefault="00B805ED" w:rsidP="002A53DB">
            <w:pPr>
              <w:pStyle w:val="ListParagraph"/>
              <w:numPr>
                <w:ilvl w:val="0"/>
                <w:numId w:val="10"/>
              </w:numPr>
              <w:spacing w:before="100" w:beforeAutospacing="1" w:after="100" w:afterAutospacing="1" w:line="240" w:lineRule="auto"/>
            </w:pPr>
            <w:r w:rsidRPr="001C1AC5">
              <w:t>Review list (</w:t>
            </w:r>
            <w:r w:rsidR="006231A6">
              <w:t>February meeting</w:t>
            </w:r>
            <w:r w:rsidRPr="001C1AC5">
              <w:t>).</w:t>
            </w:r>
          </w:p>
        </w:tc>
        <w:tc>
          <w:tcPr>
            <w:tcW w:w="1530" w:type="dxa"/>
            <w:shd w:val="clear" w:color="auto" w:fill="FFFFFF" w:themeFill="background1"/>
          </w:tcPr>
          <w:p w:rsidR="000047C9" w:rsidRPr="001C1AC5" w:rsidRDefault="001818B4" w:rsidP="00DF7122">
            <w:pPr>
              <w:spacing w:after="0" w:line="240" w:lineRule="auto"/>
            </w:pPr>
            <w:r>
              <w:t xml:space="preserve">Identification by </w:t>
            </w:r>
            <w:r w:rsidR="006231A6">
              <w:t>Feb</w:t>
            </w:r>
            <w:r w:rsidR="00AE0CB8">
              <w:t xml:space="preserve"> 2013</w:t>
            </w:r>
            <w:bookmarkStart w:id="0" w:name="_GoBack"/>
            <w:bookmarkEnd w:id="0"/>
          </w:p>
        </w:tc>
      </w:tr>
      <w:tr w:rsidR="000047C9" w:rsidRPr="004036DC" w:rsidTr="00203F6A">
        <w:tc>
          <w:tcPr>
            <w:tcW w:w="2988" w:type="dxa"/>
            <w:shd w:val="clear" w:color="auto" w:fill="FFFFFF" w:themeFill="background1"/>
          </w:tcPr>
          <w:p w:rsidR="000047C9" w:rsidRPr="001C1AC5" w:rsidRDefault="000047C9" w:rsidP="00DF7122">
            <w:pPr>
              <w:spacing w:after="0" w:line="240" w:lineRule="auto"/>
            </w:pPr>
          </w:p>
        </w:tc>
        <w:tc>
          <w:tcPr>
            <w:tcW w:w="2970" w:type="dxa"/>
            <w:shd w:val="clear" w:color="auto" w:fill="FFFFFF" w:themeFill="background1"/>
          </w:tcPr>
          <w:p w:rsidR="000047C9" w:rsidRPr="001C1AC5" w:rsidRDefault="000047C9" w:rsidP="00DF7122">
            <w:pPr>
              <w:spacing w:after="0" w:line="240" w:lineRule="auto"/>
            </w:pPr>
          </w:p>
        </w:tc>
        <w:tc>
          <w:tcPr>
            <w:tcW w:w="1800" w:type="dxa"/>
            <w:shd w:val="clear" w:color="auto" w:fill="FFFFFF" w:themeFill="background1"/>
          </w:tcPr>
          <w:p w:rsidR="000047C9" w:rsidRPr="001C1AC5" w:rsidRDefault="000047C9" w:rsidP="00DF7122">
            <w:pPr>
              <w:spacing w:after="0" w:line="240" w:lineRule="auto"/>
            </w:pPr>
          </w:p>
        </w:tc>
        <w:tc>
          <w:tcPr>
            <w:tcW w:w="3240" w:type="dxa"/>
            <w:shd w:val="clear" w:color="auto" w:fill="FFFFFF" w:themeFill="background1"/>
          </w:tcPr>
          <w:p w:rsidR="00310932" w:rsidRPr="00385EF8" w:rsidRDefault="00310932" w:rsidP="00385EF8">
            <w:pPr>
              <w:pStyle w:val="ListParagraph"/>
              <w:numPr>
                <w:ilvl w:val="0"/>
                <w:numId w:val="10"/>
              </w:numPr>
              <w:spacing w:before="100" w:beforeAutospacing="1" w:after="0" w:line="240" w:lineRule="auto"/>
              <w:rPr>
                <w:rFonts w:ascii="Times New Roman" w:hAnsi="Times New Roman"/>
              </w:rPr>
            </w:pPr>
          </w:p>
        </w:tc>
        <w:tc>
          <w:tcPr>
            <w:tcW w:w="1530" w:type="dxa"/>
            <w:shd w:val="clear" w:color="auto" w:fill="FFFFFF" w:themeFill="background1"/>
          </w:tcPr>
          <w:p w:rsidR="000047C9" w:rsidRPr="001C1AC5" w:rsidRDefault="000047C9" w:rsidP="00DF7122">
            <w:pPr>
              <w:spacing w:after="0" w:line="240" w:lineRule="auto"/>
            </w:pPr>
          </w:p>
        </w:tc>
      </w:tr>
      <w:tr w:rsidR="000047C9" w:rsidRPr="004036DC" w:rsidTr="00DD0444">
        <w:tc>
          <w:tcPr>
            <w:tcW w:w="12528" w:type="dxa"/>
            <w:gridSpan w:val="5"/>
            <w:shd w:val="clear" w:color="auto" w:fill="C2D69B" w:themeFill="accent3" w:themeFillTint="99"/>
          </w:tcPr>
          <w:p w:rsidR="000047C9" w:rsidRPr="00DD0444" w:rsidRDefault="000047C9" w:rsidP="006059E5">
            <w:pPr>
              <w:spacing w:after="0" w:line="240" w:lineRule="auto"/>
              <w:rPr>
                <w:i/>
              </w:rPr>
            </w:pPr>
            <w:r w:rsidRPr="00DD0444">
              <w:rPr>
                <w:b/>
              </w:rPr>
              <w:t xml:space="preserve">2.  </w:t>
            </w:r>
            <w:r w:rsidRPr="00DD0444">
              <w:rPr>
                <w:b/>
                <w:bCs/>
              </w:rPr>
              <w:t>KNOWLEDGE GENERATION: Reliable, high-quality information synthesized and produced in user-friendly, appropriate formats</w:t>
            </w:r>
          </w:p>
        </w:tc>
      </w:tr>
      <w:tr w:rsidR="00AB5915" w:rsidRPr="004036DC" w:rsidTr="0052236D">
        <w:tc>
          <w:tcPr>
            <w:tcW w:w="2988" w:type="dxa"/>
            <w:tcBorders>
              <w:bottom w:val="single" w:sz="4" w:space="0" w:color="000000"/>
            </w:tcBorders>
            <w:shd w:val="clear" w:color="auto" w:fill="FFFFFF" w:themeFill="background1"/>
          </w:tcPr>
          <w:p w:rsidR="00AB5915" w:rsidRPr="001C1AC5" w:rsidRDefault="00B805ED" w:rsidP="00AB5915">
            <w:pPr>
              <w:rPr>
                <w:rFonts w:asciiTheme="minorHAnsi" w:hAnsiTheme="minorHAnsi" w:cstheme="minorHAnsi"/>
              </w:rPr>
            </w:pPr>
            <w:r w:rsidRPr="00203F6A">
              <w:rPr>
                <w:rFonts w:asciiTheme="minorHAnsi" w:hAnsiTheme="minorHAnsi" w:cstheme="minorHAnsi"/>
              </w:rPr>
              <w:t>Draft</w:t>
            </w:r>
            <w:r w:rsidR="00AB5915" w:rsidRPr="00203F6A">
              <w:rPr>
                <w:rFonts w:asciiTheme="minorHAnsi" w:hAnsiTheme="minorHAnsi" w:cstheme="minorHAnsi"/>
              </w:rPr>
              <w:t xml:space="preserve"> guidance</w:t>
            </w:r>
            <w:r w:rsidRPr="00203F6A">
              <w:rPr>
                <w:rFonts w:asciiTheme="minorHAnsi" w:hAnsiTheme="minorHAnsi" w:cstheme="minorHAnsi"/>
              </w:rPr>
              <w:t>(5 pages max)</w:t>
            </w:r>
            <w:r w:rsidR="00AB5915" w:rsidRPr="00203F6A">
              <w:rPr>
                <w:rFonts w:asciiTheme="minorHAnsi" w:hAnsiTheme="minorHAnsi" w:cstheme="minorHAnsi"/>
              </w:rPr>
              <w:t xml:space="preserve"> </w:t>
            </w:r>
            <w:r w:rsidR="00385EF8">
              <w:rPr>
                <w:rFonts w:asciiTheme="minorHAnsi" w:hAnsiTheme="minorHAnsi" w:cstheme="minorHAnsi"/>
              </w:rPr>
              <w:t>for gender integration and program design</w:t>
            </w:r>
            <w:r w:rsidR="00AB5915" w:rsidRPr="00203F6A">
              <w:rPr>
                <w:rFonts w:asciiTheme="minorHAnsi" w:hAnsiTheme="minorHAnsi" w:cstheme="minorHAnsi"/>
              </w:rPr>
              <w:t xml:space="preserve"> </w:t>
            </w:r>
          </w:p>
        </w:tc>
        <w:tc>
          <w:tcPr>
            <w:tcW w:w="2970" w:type="dxa"/>
            <w:tcBorders>
              <w:bottom w:val="single" w:sz="4" w:space="0" w:color="000000"/>
            </w:tcBorders>
            <w:shd w:val="clear" w:color="auto" w:fill="FFFFFF" w:themeFill="background1"/>
          </w:tcPr>
          <w:p w:rsidR="00AB5915" w:rsidRPr="001C1AC5" w:rsidRDefault="00AB5915" w:rsidP="006059E5">
            <w:pPr>
              <w:spacing w:after="0" w:line="240" w:lineRule="auto"/>
              <w:rPr>
                <w:rFonts w:asciiTheme="minorHAnsi" w:hAnsiTheme="minorHAnsi" w:cstheme="minorHAnsi"/>
              </w:rPr>
            </w:pPr>
          </w:p>
        </w:tc>
        <w:tc>
          <w:tcPr>
            <w:tcW w:w="1800" w:type="dxa"/>
            <w:tcBorders>
              <w:bottom w:val="single" w:sz="4" w:space="0" w:color="000000"/>
            </w:tcBorders>
            <w:shd w:val="clear" w:color="auto" w:fill="FFFFFF" w:themeFill="background1"/>
          </w:tcPr>
          <w:p w:rsidR="00AB5915" w:rsidRPr="001C1AC5" w:rsidRDefault="006231A6" w:rsidP="006059E5">
            <w:pPr>
              <w:spacing w:after="0" w:line="240" w:lineRule="auto"/>
              <w:rPr>
                <w:rFonts w:asciiTheme="minorHAnsi" w:hAnsiTheme="minorHAnsi" w:cstheme="minorHAnsi"/>
              </w:rPr>
            </w:pPr>
            <w:r>
              <w:rPr>
                <w:rFonts w:asciiTheme="minorHAnsi" w:hAnsiTheme="minorHAnsi" w:cstheme="minorHAnsi"/>
              </w:rPr>
              <w:t xml:space="preserve">Kristi with support from Michelle </w:t>
            </w:r>
            <w:proofErr w:type="spellStart"/>
            <w:r>
              <w:rPr>
                <w:rFonts w:asciiTheme="minorHAnsi" w:hAnsiTheme="minorHAnsi" w:cstheme="minorHAnsi"/>
              </w:rPr>
              <w:t>Gamber</w:t>
            </w:r>
            <w:proofErr w:type="spellEnd"/>
            <w:r>
              <w:rPr>
                <w:rFonts w:asciiTheme="minorHAnsi" w:hAnsiTheme="minorHAnsi" w:cstheme="minorHAnsi"/>
              </w:rPr>
              <w:t>, AAAS Fellow and Judy</w:t>
            </w:r>
          </w:p>
        </w:tc>
        <w:tc>
          <w:tcPr>
            <w:tcW w:w="3240" w:type="dxa"/>
            <w:tcBorders>
              <w:bottom w:val="single" w:sz="4" w:space="0" w:color="000000"/>
            </w:tcBorders>
            <w:shd w:val="clear" w:color="auto" w:fill="FFFFFF" w:themeFill="background1"/>
          </w:tcPr>
          <w:p w:rsidR="00AB5915" w:rsidRDefault="00AB5915" w:rsidP="006059E5">
            <w:pPr>
              <w:spacing w:after="0" w:line="240" w:lineRule="auto"/>
              <w:rPr>
                <w:rFonts w:asciiTheme="minorHAnsi" w:hAnsiTheme="minorHAnsi" w:cstheme="minorHAnsi"/>
              </w:rPr>
            </w:pPr>
          </w:p>
          <w:p w:rsidR="00385EF8" w:rsidRDefault="00385EF8" w:rsidP="00203F6A">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Initial draft guidance developed and shared with FFP, FANTA (</w:t>
            </w:r>
            <w:proofErr w:type="spellStart"/>
            <w:r>
              <w:rPr>
                <w:rFonts w:asciiTheme="minorHAnsi" w:hAnsiTheme="minorHAnsi" w:cstheme="minorHAnsi"/>
              </w:rPr>
              <w:t>Kavita</w:t>
            </w:r>
            <w:proofErr w:type="spellEnd"/>
            <w:r>
              <w:rPr>
                <w:rFonts w:asciiTheme="minorHAnsi" w:hAnsiTheme="minorHAnsi" w:cstheme="minorHAnsi"/>
              </w:rPr>
              <w:t>).</w:t>
            </w:r>
          </w:p>
          <w:p w:rsidR="00385EF8" w:rsidRDefault="00385EF8" w:rsidP="00203F6A">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Revised version shared with TF.</w:t>
            </w:r>
          </w:p>
          <w:p w:rsidR="00385EF8" w:rsidRPr="00203F6A" w:rsidRDefault="00385EF8" w:rsidP="00203F6A">
            <w:pPr>
              <w:pStyle w:val="ListParagraph"/>
              <w:numPr>
                <w:ilvl w:val="0"/>
                <w:numId w:val="10"/>
              </w:numPr>
              <w:spacing w:after="0" w:line="240" w:lineRule="auto"/>
              <w:rPr>
                <w:rFonts w:asciiTheme="minorHAnsi" w:hAnsiTheme="minorHAnsi" w:cstheme="minorHAnsi"/>
              </w:rPr>
            </w:pPr>
          </w:p>
        </w:tc>
        <w:tc>
          <w:tcPr>
            <w:tcW w:w="1530" w:type="dxa"/>
            <w:tcBorders>
              <w:bottom w:val="single" w:sz="4" w:space="0" w:color="000000"/>
            </w:tcBorders>
            <w:shd w:val="clear" w:color="auto" w:fill="FFFFFF" w:themeFill="background1"/>
          </w:tcPr>
          <w:p w:rsidR="00AB5915" w:rsidRPr="001C1AC5" w:rsidRDefault="006231A6" w:rsidP="006059E5">
            <w:pPr>
              <w:spacing w:after="0" w:line="240" w:lineRule="auto"/>
              <w:rPr>
                <w:rFonts w:asciiTheme="minorHAnsi" w:hAnsiTheme="minorHAnsi" w:cstheme="minorHAnsi"/>
              </w:rPr>
            </w:pPr>
            <w:r>
              <w:rPr>
                <w:rFonts w:asciiTheme="minorHAnsi" w:hAnsiTheme="minorHAnsi" w:cstheme="minorHAnsi"/>
              </w:rPr>
              <w:lastRenderedPageBreak/>
              <w:t>Nov 2012</w:t>
            </w:r>
          </w:p>
        </w:tc>
      </w:tr>
      <w:tr w:rsidR="001C1AC5" w:rsidRPr="004036DC" w:rsidTr="0052236D">
        <w:tc>
          <w:tcPr>
            <w:tcW w:w="2988" w:type="dxa"/>
            <w:tcBorders>
              <w:bottom w:val="single" w:sz="4" w:space="0" w:color="000000"/>
            </w:tcBorders>
            <w:shd w:val="clear" w:color="auto" w:fill="FFFFFF" w:themeFill="background1"/>
          </w:tcPr>
          <w:p w:rsidR="001C1AC5" w:rsidRPr="001C1AC5" w:rsidRDefault="002A53DB" w:rsidP="00AB5915">
            <w:pPr>
              <w:rPr>
                <w:rFonts w:asciiTheme="minorHAnsi" w:hAnsiTheme="minorHAnsi" w:cstheme="minorHAnsi"/>
              </w:rPr>
            </w:pPr>
            <w:r w:rsidRPr="004744DF">
              <w:lastRenderedPageBreak/>
              <w:t xml:space="preserve">Mapping of </w:t>
            </w:r>
            <w:r>
              <w:t>gender contacts within Title II implementing partners and resource organizations at both the HQ</w:t>
            </w:r>
            <w:r w:rsidRPr="004744DF">
              <w:t xml:space="preserve"> and CO</w:t>
            </w:r>
            <w:r>
              <w:t>-level.</w:t>
            </w:r>
          </w:p>
        </w:tc>
        <w:tc>
          <w:tcPr>
            <w:tcW w:w="2970" w:type="dxa"/>
            <w:tcBorders>
              <w:bottom w:val="single" w:sz="4" w:space="0" w:color="000000"/>
            </w:tcBorders>
            <w:shd w:val="clear" w:color="auto" w:fill="FFFFFF" w:themeFill="background1"/>
          </w:tcPr>
          <w:p w:rsidR="001C1AC5" w:rsidRPr="001C1AC5" w:rsidRDefault="002A53DB" w:rsidP="006059E5">
            <w:pPr>
              <w:spacing w:after="0" w:line="240" w:lineRule="auto"/>
              <w:rPr>
                <w:rFonts w:asciiTheme="minorHAnsi" w:hAnsiTheme="minorHAnsi" w:cstheme="minorHAnsi"/>
              </w:rPr>
            </w:pPr>
            <w:r>
              <w:t>Identifying key contacts will assist with broadening feedback on recommended tool and best practices.</w:t>
            </w:r>
          </w:p>
        </w:tc>
        <w:tc>
          <w:tcPr>
            <w:tcW w:w="1800" w:type="dxa"/>
            <w:tcBorders>
              <w:bottom w:val="single" w:sz="4" w:space="0" w:color="000000"/>
            </w:tcBorders>
            <w:shd w:val="clear" w:color="auto" w:fill="FFFFFF" w:themeFill="background1"/>
          </w:tcPr>
          <w:p w:rsidR="001C1AC5" w:rsidRPr="001C1AC5" w:rsidRDefault="00C034A0" w:rsidP="006059E5">
            <w:pPr>
              <w:spacing w:after="0" w:line="240" w:lineRule="auto"/>
              <w:rPr>
                <w:rFonts w:asciiTheme="minorHAnsi" w:hAnsiTheme="minorHAnsi" w:cstheme="minorHAnsi"/>
              </w:rPr>
            </w:pPr>
            <w:r>
              <w:rPr>
                <w:rFonts w:asciiTheme="minorHAnsi" w:hAnsiTheme="minorHAnsi" w:cstheme="minorHAnsi"/>
              </w:rPr>
              <w:t>Kristi/Melissa</w:t>
            </w:r>
          </w:p>
        </w:tc>
        <w:tc>
          <w:tcPr>
            <w:tcW w:w="3240" w:type="dxa"/>
            <w:tcBorders>
              <w:bottom w:val="single" w:sz="4" w:space="0" w:color="000000"/>
            </w:tcBorders>
            <w:shd w:val="clear" w:color="auto" w:fill="FFFFFF" w:themeFill="background1"/>
          </w:tcPr>
          <w:p w:rsidR="001C1AC5" w:rsidRPr="001C1AC5" w:rsidRDefault="002A53DB" w:rsidP="001C1AC5">
            <w:pPr>
              <w:spacing w:after="0" w:line="240" w:lineRule="auto"/>
              <w:rPr>
                <w:rFonts w:asciiTheme="minorHAnsi" w:hAnsiTheme="minorHAnsi" w:cstheme="minorHAnsi"/>
              </w:rPr>
            </w:pPr>
            <w:r>
              <w:t>Roster of consultants and PVO contacts solicited by email and pulled together</w:t>
            </w:r>
          </w:p>
        </w:tc>
        <w:tc>
          <w:tcPr>
            <w:tcW w:w="1530" w:type="dxa"/>
            <w:tcBorders>
              <w:bottom w:val="single" w:sz="4" w:space="0" w:color="000000"/>
            </w:tcBorders>
            <w:shd w:val="clear" w:color="auto" w:fill="FFFFFF" w:themeFill="background1"/>
          </w:tcPr>
          <w:p w:rsidR="001C1AC5" w:rsidRPr="001C1AC5" w:rsidRDefault="002A53DB" w:rsidP="006059E5">
            <w:pPr>
              <w:spacing w:after="0" w:line="240" w:lineRule="auto"/>
              <w:rPr>
                <w:rFonts w:asciiTheme="minorHAnsi" w:hAnsiTheme="minorHAnsi" w:cstheme="minorHAnsi"/>
              </w:rPr>
            </w:pPr>
            <w:r>
              <w:rPr>
                <w:rFonts w:asciiTheme="minorHAnsi" w:hAnsiTheme="minorHAnsi" w:cstheme="minorHAnsi"/>
              </w:rPr>
              <w:t>Dec 2012</w:t>
            </w:r>
          </w:p>
        </w:tc>
      </w:tr>
      <w:tr w:rsidR="00B805ED" w:rsidRPr="004036DC" w:rsidTr="0052236D">
        <w:tc>
          <w:tcPr>
            <w:tcW w:w="2988" w:type="dxa"/>
            <w:tcBorders>
              <w:bottom w:val="single" w:sz="4" w:space="0" w:color="000000"/>
            </w:tcBorders>
            <w:shd w:val="clear" w:color="auto" w:fill="FFFFFF" w:themeFill="background1"/>
          </w:tcPr>
          <w:p w:rsidR="00B805ED" w:rsidRPr="00B805ED" w:rsidRDefault="00B805ED" w:rsidP="00AB5915">
            <w:r w:rsidRPr="00B805ED">
              <w:t xml:space="preserve">Organize speakers for each </w:t>
            </w:r>
            <w:proofErr w:type="gramStart"/>
            <w:r w:rsidRPr="00B805ED">
              <w:t>meetings</w:t>
            </w:r>
            <w:proofErr w:type="gramEnd"/>
            <w:r w:rsidRPr="00B805ED">
              <w:t>.</w:t>
            </w:r>
          </w:p>
        </w:tc>
        <w:tc>
          <w:tcPr>
            <w:tcW w:w="2970" w:type="dxa"/>
            <w:tcBorders>
              <w:bottom w:val="single" w:sz="4" w:space="0" w:color="000000"/>
            </w:tcBorders>
            <w:shd w:val="clear" w:color="auto" w:fill="FFFFFF" w:themeFill="background1"/>
          </w:tcPr>
          <w:p w:rsidR="00B805ED" w:rsidRPr="00B805ED" w:rsidRDefault="00C034A0" w:rsidP="00AB5915">
            <w:r>
              <w:t>This</w:t>
            </w:r>
            <w:r w:rsidR="00B805ED" w:rsidRPr="00B805ED">
              <w:t xml:space="preserve"> will give organizations the oppor</w:t>
            </w:r>
            <w:r>
              <w:t>tunity to share success stories</w:t>
            </w:r>
            <w:r w:rsidR="00B805ED" w:rsidRPr="00B805ED">
              <w:t>, lessons learned, and good practices around gender and food security.</w:t>
            </w:r>
          </w:p>
        </w:tc>
        <w:tc>
          <w:tcPr>
            <w:tcW w:w="1800" w:type="dxa"/>
            <w:tcBorders>
              <w:bottom w:val="single" w:sz="4" w:space="0" w:color="000000"/>
            </w:tcBorders>
            <w:shd w:val="clear" w:color="auto" w:fill="FFFFFF" w:themeFill="background1"/>
          </w:tcPr>
          <w:p w:rsidR="00B805ED" w:rsidRPr="00B805ED" w:rsidRDefault="00C034A0" w:rsidP="006059E5">
            <w:pPr>
              <w:spacing w:after="0" w:line="240" w:lineRule="auto"/>
            </w:pPr>
            <w:r>
              <w:t>Kristi/Melissa</w:t>
            </w:r>
          </w:p>
        </w:tc>
        <w:tc>
          <w:tcPr>
            <w:tcW w:w="3240" w:type="dxa"/>
            <w:tcBorders>
              <w:bottom w:val="single" w:sz="4" w:space="0" w:color="000000"/>
            </w:tcBorders>
            <w:shd w:val="clear" w:color="auto" w:fill="FFFFFF" w:themeFill="background1"/>
          </w:tcPr>
          <w:p w:rsidR="00B805ED" w:rsidRPr="00B805ED" w:rsidRDefault="00B805ED" w:rsidP="006059E5">
            <w:pPr>
              <w:spacing w:after="0" w:line="240" w:lineRule="auto"/>
            </w:pPr>
            <w:r w:rsidRPr="00B805ED">
              <w:t xml:space="preserve">Speakers will be arranged for </w:t>
            </w:r>
            <w:r w:rsidR="005632FF">
              <w:t>most</w:t>
            </w:r>
            <w:r w:rsidRPr="00B805ED">
              <w:t xml:space="preserve"> meeting</w:t>
            </w:r>
            <w:r w:rsidR="005632FF">
              <w:t>s</w:t>
            </w:r>
            <w:r w:rsidRPr="00B805ED">
              <w:t>.</w:t>
            </w:r>
          </w:p>
        </w:tc>
        <w:tc>
          <w:tcPr>
            <w:tcW w:w="1530" w:type="dxa"/>
            <w:tcBorders>
              <w:bottom w:val="single" w:sz="4" w:space="0" w:color="000000"/>
            </w:tcBorders>
            <w:shd w:val="clear" w:color="auto" w:fill="FFFFFF" w:themeFill="background1"/>
          </w:tcPr>
          <w:p w:rsidR="00B805ED" w:rsidRDefault="00D0132F" w:rsidP="006059E5">
            <w:pPr>
              <w:spacing w:after="0" w:line="240" w:lineRule="auto"/>
            </w:pPr>
            <w:r>
              <w:t>Ongoing</w:t>
            </w:r>
          </w:p>
          <w:p w:rsidR="00D0132F" w:rsidRPr="00B805ED" w:rsidRDefault="00D0132F" w:rsidP="006059E5">
            <w:pPr>
              <w:spacing w:after="0" w:line="240" w:lineRule="auto"/>
            </w:pPr>
            <w:r>
              <w:t>Target: 4</w:t>
            </w:r>
          </w:p>
        </w:tc>
      </w:tr>
      <w:tr w:rsidR="0052236D" w:rsidRPr="004036DC" w:rsidTr="0052236D">
        <w:tc>
          <w:tcPr>
            <w:tcW w:w="2988" w:type="dxa"/>
            <w:tcBorders>
              <w:bottom w:val="single" w:sz="4" w:space="0" w:color="000000"/>
            </w:tcBorders>
            <w:shd w:val="clear" w:color="auto" w:fill="FFFFFF" w:themeFill="background1"/>
          </w:tcPr>
          <w:p w:rsidR="0052236D" w:rsidRPr="00B805ED" w:rsidRDefault="0052236D" w:rsidP="00AB5915">
            <w:r>
              <w:t>Useful tools endorsed.</w:t>
            </w:r>
          </w:p>
        </w:tc>
        <w:tc>
          <w:tcPr>
            <w:tcW w:w="2970" w:type="dxa"/>
            <w:tcBorders>
              <w:bottom w:val="single" w:sz="4" w:space="0" w:color="000000"/>
            </w:tcBorders>
            <w:shd w:val="clear" w:color="auto" w:fill="FFFFFF" w:themeFill="background1"/>
          </w:tcPr>
          <w:p w:rsidR="0052236D" w:rsidRDefault="0052236D" w:rsidP="00AB5915">
            <w:r>
              <w:t>Tool identified by the group will be endorsed.</w:t>
            </w:r>
          </w:p>
        </w:tc>
        <w:tc>
          <w:tcPr>
            <w:tcW w:w="1800" w:type="dxa"/>
            <w:tcBorders>
              <w:bottom w:val="single" w:sz="4" w:space="0" w:color="000000"/>
            </w:tcBorders>
            <w:shd w:val="clear" w:color="auto" w:fill="FFFFFF" w:themeFill="background1"/>
          </w:tcPr>
          <w:p w:rsidR="0052236D" w:rsidRDefault="0052236D" w:rsidP="006059E5">
            <w:pPr>
              <w:spacing w:after="0" w:line="240" w:lineRule="auto"/>
            </w:pPr>
            <w:r>
              <w:t>Kristi/Melissa</w:t>
            </w:r>
          </w:p>
        </w:tc>
        <w:tc>
          <w:tcPr>
            <w:tcW w:w="3240" w:type="dxa"/>
            <w:tcBorders>
              <w:bottom w:val="single" w:sz="4" w:space="0" w:color="000000"/>
            </w:tcBorders>
            <w:shd w:val="clear" w:color="auto" w:fill="FFFFFF" w:themeFill="background1"/>
          </w:tcPr>
          <w:p w:rsidR="0052236D" w:rsidRPr="00B805ED" w:rsidRDefault="0052236D" w:rsidP="006059E5">
            <w:pPr>
              <w:spacing w:after="0" w:line="240" w:lineRule="auto"/>
            </w:pPr>
            <w:r>
              <w:t>Tools identified in the first half of FY13 will be evaluated through a vetting process.</w:t>
            </w:r>
          </w:p>
        </w:tc>
        <w:tc>
          <w:tcPr>
            <w:tcW w:w="1530" w:type="dxa"/>
            <w:tcBorders>
              <w:bottom w:val="single" w:sz="4" w:space="0" w:color="000000"/>
            </w:tcBorders>
            <w:shd w:val="clear" w:color="auto" w:fill="FFFFFF" w:themeFill="background1"/>
          </w:tcPr>
          <w:p w:rsidR="0052236D" w:rsidRDefault="0052236D" w:rsidP="006059E5">
            <w:pPr>
              <w:spacing w:after="0" w:line="240" w:lineRule="auto"/>
            </w:pPr>
            <w:r>
              <w:t>5 tools endorsed by Sep 2013.</w:t>
            </w:r>
          </w:p>
        </w:tc>
      </w:tr>
      <w:tr w:rsidR="0075090D" w:rsidRPr="004036DC" w:rsidTr="0052236D">
        <w:tc>
          <w:tcPr>
            <w:tcW w:w="2988" w:type="dxa"/>
            <w:tcBorders>
              <w:bottom w:val="single" w:sz="4" w:space="0" w:color="000000"/>
            </w:tcBorders>
            <w:shd w:val="clear" w:color="auto" w:fill="FFFFFF" w:themeFill="background1"/>
          </w:tcPr>
          <w:p w:rsidR="0075090D" w:rsidRDefault="0075090D" w:rsidP="00AB5915">
            <w:r>
              <w:t>Promote small grant awards.</w:t>
            </w:r>
          </w:p>
        </w:tc>
        <w:tc>
          <w:tcPr>
            <w:tcW w:w="2970" w:type="dxa"/>
            <w:tcBorders>
              <w:bottom w:val="single" w:sz="4" w:space="0" w:color="000000"/>
            </w:tcBorders>
            <w:shd w:val="clear" w:color="auto" w:fill="FFFFFF" w:themeFill="background1"/>
          </w:tcPr>
          <w:p w:rsidR="0075090D" w:rsidRDefault="0075090D" w:rsidP="00AB5915">
            <w:r>
              <w:t>Small grant activities will allow the group to generate and share tools and knowledge with other implementer partners.</w:t>
            </w:r>
          </w:p>
        </w:tc>
        <w:tc>
          <w:tcPr>
            <w:tcW w:w="1800" w:type="dxa"/>
            <w:tcBorders>
              <w:bottom w:val="single" w:sz="4" w:space="0" w:color="000000"/>
            </w:tcBorders>
            <w:shd w:val="clear" w:color="auto" w:fill="FFFFFF" w:themeFill="background1"/>
          </w:tcPr>
          <w:p w:rsidR="0075090D" w:rsidRDefault="0075090D" w:rsidP="006059E5">
            <w:pPr>
              <w:spacing w:after="0" w:line="240" w:lineRule="auto"/>
            </w:pPr>
            <w:r>
              <w:t>Melissa</w:t>
            </w:r>
          </w:p>
        </w:tc>
        <w:tc>
          <w:tcPr>
            <w:tcW w:w="3240" w:type="dxa"/>
            <w:tcBorders>
              <w:bottom w:val="single" w:sz="4" w:space="0" w:color="000000"/>
            </w:tcBorders>
            <w:shd w:val="clear" w:color="auto" w:fill="FFFFFF" w:themeFill="background1"/>
          </w:tcPr>
          <w:p w:rsidR="0075090D" w:rsidRDefault="0075090D" w:rsidP="00203F6A">
            <w:pPr>
              <w:pStyle w:val="ListParagraph"/>
              <w:numPr>
                <w:ilvl w:val="0"/>
                <w:numId w:val="10"/>
              </w:numPr>
              <w:spacing w:after="0" w:line="240" w:lineRule="auto"/>
            </w:pPr>
            <w:r>
              <w:t>A short discussion on grant opportunities at TF meetings as well as occasional email outreach will be completed to increase the generation and sharing of new/</w:t>
            </w:r>
            <w:r w:rsidR="00A07DF6">
              <w:t>updated knowledge and tools.</w:t>
            </w:r>
          </w:p>
        </w:tc>
        <w:tc>
          <w:tcPr>
            <w:tcW w:w="1530" w:type="dxa"/>
            <w:tcBorders>
              <w:bottom w:val="single" w:sz="4" w:space="0" w:color="000000"/>
            </w:tcBorders>
            <w:shd w:val="clear" w:color="auto" w:fill="FFFFFF" w:themeFill="background1"/>
          </w:tcPr>
          <w:p w:rsidR="0075090D" w:rsidRDefault="00A07DF6" w:rsidP="006059E5">
            <w:pPr>
              <w:spacing w:after="0" w:line="240" w:lineRule="auto"/>
            </w:pPr>
            <w:r>
              <w:t>Ongoing with the intent of seeing one new small grant awarded for a gender-related activity.</w:t>
            </w:r>
          </w:p>
        </w:tc>
      </w:tr>
      <w:tr w:rsidR="000047C9" w:rsidRPr="004036DC" w:rsidTr="00DD0444">
        <w:tc>
          <w:tcPr>
            <w:tcW w:w="12528" w:type="dxa"/>
            <w:gridSpan w:val="5"/>
            <w:shd w:val="clear" w:color="auto" w:fill="C2D69B" w:themeFill="accent3" w:themeFillTint="99"/>
          </w:tcPr>
          <w:p w:rsidR="000047C9" w:rsidRPr="00DD0444" w:rsidRDefault="000047C9" w:rsidP="006059E5">
            <w:pPr>
              <w:spacing w:after="0" w:line="240" w:lineRule="auto"/>
              <w:rPr>
                <w:i/>
              </w:rPr>
            </w:pPr>
            <w:r w:rsidRPr="00DD0444">
              <w:rPr>
                <w:b/>
              </w:rPr>
              <w:t xml:space="preserve">3.  </w:t>
            </w:r>
            <w:r w:rsidRPr="00DD0444">
              <w:rPr>
                <w:b/>
                <w:bCs/>
              </w:rPr>
              <w:t xml:space="preserve">KNOWLEDGE APPLICATION: </w:t>
            </w:r>
            <w:r w:rsidRPr="00DD0444">
              <w:rPr>
                <w:rFonts w:ascii="Arial" w:hAnsi="Arial" w:cs="Arial"/>
              </w:rPr>
              <w:t xml:space="preserve"> </w:t>
            </w:r>
            <w:r w:rsidRPr="00DD0444">
              <w:rPr>
                <w:b/>
                <w:bCs/>
              </w:rPr>
              <w:t>Effective and appropriate traditional and non-traditional skill delivery approaches and systems/applications used</w:t>
            </w:r>
          </w:p>
        </w:tc>
      </w:tr>
      <w:tr w:rsidR="000047C9" w:rsidRPr="004036DC" w:rsidTr="00203F6A">
        <w:tc>
          <w:tcPr>
            <w:tcW w:w="2988" w:type="dxa"/>
            <w:tcBorders>
              <w:bottom w:val="single" w:sz="4" w:space="0" w:color="000000"/>
            </w:tcBorders>
            <w:shd w:val="clear" w:color="auto" w:fill="FFFFFF" w:themeFill="background1"/>
          </w:tcPr>
          <w:p w:rsidR="000047C9" w:rsidRPr="00DD0444" w:rsidRDefault="00F01A48" w:rsidP="00203F6A">
            <w:pPr>
              <w:pStyle w:val="NoSpacing"/>
              <w:rPr>
                <w:b/>
              </w:rPr>
            </w:pPr>
            <w:r>
              <w:t>Nothing identified at this time.</w:t>
            </w:r>
          </w:p>
        </w:tc>
        <w:tc>
          <w:tcPr>
            <w:tcW w:w="2970" w:type="dxa"/>
            <w:tcBorders>
              <w:bottom w:val="single" w:sz="4" w:space="0" w:color="000000"/>
            </w:tcBorders>
            <w:shd w:val="clear" w:color="auto" w:fill="FFFFFF" w:themeFill="background1"/>
          </w:tcPr>
          <w:p w:rsidR="000047C9" w:rsidRPr="00DD0444" w:rsidRDefault="000047C9" w:rsidP="006059E5">
            <w:pPr>
              <w:spacing w:after="0" w:line="240" w:lineRule="auto"/>
              <w:rPr>
                <w:b/>
              </w:rPr>
            </w:pPr>
          </w:p>
        </w:tc>
        <w:tc>
          <w:tcPr>
            <w:tcW w:w="1800" w:type="dxa"/>
            <w:tcBorders>
              <w:bottom w:val="single" w:sz="4" w:space="0" w:color="000000"/>
            </w:tcBorders>
            <w:shd w:val="clear" w:color="auto" w:fill="FFFFFF" w:themeFill="background1"/>
          </w:tcPr>
          <w:p w:rsidR="000047C9" w:rsidRPr="00531DE0" w:rsidRDefault="000047C9" w:rsidP="006059E5">
            <w:pPr>
              <w:spacing w:after="0" w:line="240" w:lineRule="auto"/>
            </w:pPr>
          </w:p>
        </w:tc>
        <w:tc>
          <w:tcPr>
            <w:tcW w:w="3240" w:type="dxa"/>
            <w:tcBorders>
              <w:bottom w:val="single" w:sz="4" w:space="0" w:color="000000"/>
            </w:tcBorders>
            <w:shd w:val="clear" w:color="auto" w:fill="FFFFFF" w:themeFill="background1"/>
          </w:tcPr>
          <w:p w:rsidR="000047C9" w:rsidRPr="00DD0444" w:rsidRDefault="000047C9" w:rsidP="006059E5">
            <w:pPr>
              <w:spacing w:after="0" w:line="240" w:lineRule="auto"/>
              <w:rPr>
                <w:b/>
              </w:rPr>
            </w:pPr>
          </w:p>
        </w:tc>
        <w:tc>
          <w:tcPr>
            <w:tcW w:w="1530" w:type="dxa"/>
            <w:tcBorders>
              <w:bottom w:val="single" w:sz="4" w:space="0" w:color="000000"/>
            </w:tcBorders>
            <w:shd w:val="clear" w:color="auto" w:fill="FFFFFF" w:themeFill="background1"/>
          </w:tcPr>
          <w:p w:rsidR="000047C9" w:rsidRPr="00D0132F" w:rsidRDefault="000047C9" w:rsidP="006059E5">
            <w:pPr>
              <w:spacing w:after="0" w:line="240" w:lineRule="auto"/>
            </w:pPr>
          </w:p>
        </w:tc>
      </w:tr>
      <w:tr w:rsidR="000047C9" w:rsidRPr="004036DC" w:rsidTr="00203F6A">
        <w:trPr>
          <w:trHeight w:val="287"/>
        </w:trPr>
        <w:tc>
          <w:tcPr>
            <w:tcW w:w="12528" w:type="dxa"/>
            <w:gridSpan w:val="5"/>
            <w:shd w:val="clear" w:color="auto" w:fill="C2D69B" w:themeFill="accent3" w:themeFillTint="99"/>
          </w:tcPr>
          <w:p w:rsidR="000047C9" w:rsidRPr="00DD0444" w:rsidRDefault="000047C9" w:rsidP="006059E5">
            <w:pPr>
              <w:spacing w:after="0" w:line="240" w:lineRule="auto"/>
              <w:rPr>
                <w:i/>
              </w:rPr>
            </w:pPr>
            <w:r w:rsidRPr="00DD0444">
              <w:rPr>
                <w:b/>
              </w:rPr>
              <w:lastRenderedPageBreak/>
              <w:t>4. KNOWLEDGE SHARING: Information, skills and knowledge exchange supported and expanded</w:t>
            </w:r>
          </w:p>
        </w:tc>
      </w:tr>
      <w:tr w:rsidR="005632FF" w:rsidRPr="004036DC" w:rsidTr="00203F6A">
        <w:trPr>
          <w:trHeight w:val="1088"/>
        </w:trPr>
        <w:tc>
          <w:tcPr>
            <w:tcW w:w="2988" w:type="dxa"/>
            <w:shd w:val="clear" w:color="auto" w:fill="FFFFFF" w:themeFill="background1"/>
          </w:tcPr>
          <w:p w:rsidR="005632FF" w:rsidRDefault="005632FF" w:rsidP="00AB5915">
            <w:r>
              <w:t>Shared Task Force meetings</w:t>
            </w:r>
          </w:p>
        </w:tc>
        <w:tc>
          <w:tcPr>
            <w:tcW w:w="2970" w:type="dxa"/>
            <w:shd w:val="clear" w:color="auto" w:fill="FFFFFF" w:themeFill="background1"/>
          </w:tcPr>
          <w:p w:rsidR="005632FF" w:rsidRDefault="005632FF" w:rsidP="006059E5">
            <w:pPr>
              <w:spacing w:after="0" w:line="240" w:lineRule="auto"/>
            </w:pPr>
            <w:r>
              <w:t>Shared meetings will allow the opportunities for members of both TFs to ask questions, share resources and identify gaps and opportunities in integrated programming.</w:t>
            </w:r>
          </w:p>
        </w:tc>
        <w:tc>
          <w:tcPr>
            <w:tcW w:w="1800" w:type="dxa"/>
            <w:shd w:val="clear" w:color="auto" w:fill="FFFFFF" w:themeFill="background1"/>
          </w:tcPr>
          <w:p w:rsidR="005632FF" w:rsidRDefault="005632FF" w:rsidP="006059E5">
            <w:pPr>
              <w:spacing w:after="0" w:line="240" w:lineRule="auto"/>
            </w:pPr>
            <w:r>
              <w:t>Kristi/Melissa</w:t>
            </w:r>
          </w:p>
        </w:tc>
        <w:tc>
          <w:tcPr>
            <w:tcW w:w="3240" w:type="dxa"/>
            <w:shd w:val="clear" w:color="auto" w:fill="FFFFFF" w:themeFill="background1"/>
          </w:tcPr>
          <w:p w:rsidR="005632FF" w:rsidRPr="00CE1B70" w:rsidRDefault="005632FF" w:rsidP="006059E5">
            <w:pPr>
              <w:spacing w:after="0" w:line="240" w:lineRule="auto"/>
            </w:pPr>
            <w:r>
              <w:t>Meetings will be set as identified.</w:t>
            </w:r>
          </w:p>
        </w:tc>
        <w:tc>
          <w:tcPr>
            <w:tcW w:w="1530" w:type="dxa"/>
            <w:shd w:val="clear" w:color="auto" w:fill="FFFFFF" w:themeFill="background1"/>
          </w:tcPr>
          <w:p w:rsidR="005632FF" w:rsidRDefault="005632FF" w:rsidP="006059E5">
            <w:pPr>
              <w:spacing w:after="0" w:line="240" w:lineRule="auto"/>
            </w:pPr>
            <w:r>
              <w:t>SBC – fall 2012</w:t>
            </w:r>
          </w:p>
          <w:p w:rsidR="005632FF" w:rsidRPr="00D0132F" w:rsidRDefault="005632FF" w:rsidP="006059E5">
            <w:pPr>
              <w:spacing w:after="0" w:line="240" w:lineRule="auto"/>
            </w:pPr>
            <w:r>
              <w:t>Others, TBD</w:t>
            </w:r>
          </w:p>
        </w:tc>
      </w:tr>
    </w:tbl>
    <w:p w:rsidR="00AB5915" w:rsidRDefault="00AB5915"/>
    <w:p w:rsidR="006710A2" w:rsidRDefault="006710A2"/>
    <w:sectPr w:rsidR="006710A2" w:rsidSect="00B1718A">
      <w:headerReference w:type="default" r:id="rId9"/>
      <w:footerReference w:type="default" r:id="rId1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70" w:rsidRDefault="00003070" w:rsidP="00B1718A">
      <w:pPr>
        <w:spacing w:after="0" w:line="240" w:lineRule="auto"/>
      </w:pPr>
      <w:r>
        <w:separator/>
      </w:r>
    </w:p>
  </w:endnote>
  <w:endnote w:type="continuationSeparator" w:id="0">
    <w:p w:rsidR="00003070" w:rsidRDefault="00003070" w:rsidP="00B1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E1" w:rsidRDefault="00CC22E1" w:rsidP="00630E9E">
    <w:pPr>
      <w:pStyle w:val="Footer"/>
    </w:pPr>
    <w:r>
      <w:t xml:space="preserve">Page </w:t>
    </w:r>
    <w:r w:rsidR="009E5D3B">
      <w:rPr>
        <w:b/>
      </w:rPr>
      <w:fldChar w:fldCharType="begin"/>
    </w:r>
    <w:r>
      <w:rPr>
        <w:b/>
      </w:rPr>
      <w:instrText xml:space="preserve"> PAGE </w:instrText>
    </w:r>
    <w:r w:rsidR="009E5D3B">
      <w:rPr>
        <w:b/>
      </w:rPr>
      <w:fldChar w:fldCharType="separate"/>
    </w:r>
    <w:r w:rsidR="00EF1DCB">
      <w:rPr>
        <w:b/>
        <w:noProof/>
      </w:rPr>
      <w:t>2</w:t>
    </w:r>
    <w:r w:rsidR="009E5D3B">
      <w:rPr>
        <w:b/>
      </w:rPr>
      <w:fldChar w:fldCharType="end"/>
    </w:r>
    <w:r>
      <w:t xml:space="preserve"> of </w:t>
    </w:r>
    <w:r w:rsidR="009E5D3B">
      <w:rPr>
        <w:b/>
      </w:rPr>
      <w:fldChar w:fldCharType="begin"/>
    </w:r>
    <w:r>
      <w:rPr>
        <w:b/>
      </w:rPr>
      <w:instrText xml:space="preserve"> NUMPAGES  </w:instrText>
    </w:r>
    <w:r w:rsidR="009E5D3B">
      <w:rPr>
        <w:b/>
      </w:rPr>
      <w:fldChar w:fldCharType="separate"/>
    </w:r>
    <w:r w:rsidR="00EF1DCB">
      <w:rPr>
        <w:b/>
        <w:noProof/>
      </w:rPr>
      <w:t>4</w:t>
    </w:r>
    <w:r w:rsidR="009E5D3B">
      <w:rPr>
        <w:b/>
      </w:rPr>
      <w:fldChar w:fldCharType="end"/>
    </w:r>
    <w:r>
      <w:rPr>
        <w:b/>
        <w:sz w:val="24"/>
        <w:szCs w:val="24"/>
      </w:rPr>
      <w:tab/>
    </w:r>
    <w:r>
      <w:rPr>
        <w:b/>
        <w:sz w:val="24"/>
        <w:szCs w:val="24"/>
      </w:rPr>
      <w:tab/>
    </w:r>
    <w:r>
      <w:rPr>
        <w:b/>
        <w:sz w:val="24"/>
        <w:szCs w:val="24"/>
      </w:rPr>
      <w:tab/>
    </w:r>
    <w:r w:rsidR="00EF1DCB">
      <w:rPr>
        <w:sz w:val="24"/>
        <w:szCs w:val="24"/>
      </w:rPr>
      <w:t>Rev. 9/6/2012</w:t>
    </w:r>
  </w:p>
  <w:p w:rsidR="00CC22E1" w:rsidRDefault="00CC2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70" w:rsidRDefault="00003070" w:rsidP="00B1718A">
      <w:pPr>
        <w:spacing w:after="0" w:line="240" w:lineRule="auto"/>
      </w:pPr>
      <w:r>
        <w:separator/>
      </w:r>
    </w:p>
  </w:footnote>
  <w:footnote w:type="continuationSeparator" w:id="0">
    <w:p w:rsidR="00003070" w:rsidRDefault="00003070" w:rsidP="00B17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E1" w:rsidRDefault="00CC22E1">
    <w:pPr>
      <w:pStyle w:val="Header"/>
    </w:pPr>
  </w:p>
  <w:p w:rsidR="00CC22E1" w:rsidRDefault="00CC2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252"/>
    <w:multiLevelType w:val="hybridMultilevel"/>
    <w:tmpl w:val="F238F14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70F6020"/>
    <w:multiLevelType w:val="multilevel"/>
    <w:tmpl w:val="C92E991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
    <w:nsid w:val="1EFE2DEC"/>
    <w:multiLevelType w:val="hybridMultilevel"/>
    <w:tmpl w:val="DFB83028"/>
    <w:lvl w:ilvl="0" w:tplc="55FC28A6">
      <w:start w:val="1"/>
      <w:numFmt w:val="bullet"/>
      <w:lvlText w:val="-"/>
      <w:lvlJc w:val="left"/>
      <w:pPr>
        <w:ind w:left="702" w:hanging="360"/>
      </w:pPr>
      <w:rPr>
        <w:rFonts w:ascii="Times New Roman" w:eastAsia="Calibri" w:hAnsi="Times New Roman"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266070A9"/>
    <w:multiLevelType w:val="hybridMultilevel"/>
    <w:tmpl w:val="6754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777CB"/>
    <w:multiLevelType w:val="hybridMultilevel"/>
    <w:tmpl w:val="D73C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E3995"/>
    <w:multiLevelType w:val="hybridMultilevel"/>
    <w:tmpl w:val="72408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950036"/>
    <w:multiLevelType w:val="hybridMultilevel"/>
    <w:tmpl w:val="A21C8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9B18CD"/>
    <w:multiLevelType w:val="hybridMultilevel"/>
    <w:tmpl w:val="2B96A8D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71C6A8F"/>
    <w:multiLevelType w:val="hybridMultilevel"/>
    <w:tmpl w:val="ACE68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B83C36"/>
    <w:multiLevelType w:val="hybridMultilevel"/>
    <w:tmpl w:val="66A4422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nsid w:val="7E914288"/>
    <w:multiLevelType w:val="hybridMultilevel"/>
    <w:tmpl w:val="2B96A8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7"/>
  </w:num>
  <w:num w:numId="3">
    <w:abstractNumId w:val="0"/>
  </w:num>
  <w:num w:numId="4">
    <w:abstractNumId w:val="10"/>
  </w:num>
  <w:num w:numId="5">
    <w:abstractNumId w:val="6"/>
  </w:num>
  <w:num w:numId="6">
    <w:abstractNumId w:val="4"/>
  </w:num>
  <w:num w:numId="7">
    <w:abstractNumId w:val="3"/>
  </w:num>
  <w:num w:numId="8">
    <w:abstractNumId w:val="8"/>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8A"/>
    <w:rsid w:val="00003070"/>
    <w:rsid w:val="000047C9"/>
    <w:rsid w:val="0003694A"/>
    <w:rsid w:val="00045527"/>
    <w:rsid w:val="00086CC7"/>
    <w:rsid w:val="00115D8A"/>
    <w:rsid w:val="00163EEC"/>
    <w:rsid w:val="001759DF"/>
    <w:rsid w:val="001818B4"/>
    <w:rsid w:val="001B6A2D"/>
    <w:rsid w:val="001C1AC5"/>
    <w:rsid w:val="001C62FA"/>
    <w:rsid w:val="00203F6A"/>
    <w:rsid w:val="00205A2E"/>
    <w:rsid w:val="002127D5"/>
    <w:rsid w:val="00250792"/>
    <w:rsid w:val="002643A6"/>
    <w:rsid w:val="00267661"/>
    <w:rsid w:val="002A53DB"/>
    <w:rsid w:val="002B1DCD"/>
    <w:rsid w:val="002C6B37"/>
    <w:rsid w:val="00310932"/>
    <w:rsid w:val="003302C6"/>
    <w:rsid w:val="00347177"/>
    <w:rsid w:val="00363E39"/>
    <w:rsid w:val="00371BA0"/>
    <w:rsid w:val="003826D3"/>
    <w:rsid w:val="00385EF8"/>
    <w:rsid w:val="003D23ED"/>
    <w:rsid w:val="003F06C3"/>
    <w:rsid w:val="003F3A43"/>
    <w:rsid w:val="004036DC"/>
    <w:rsid w:val="004235B4"/>
    <w:rsid w:val="004307BE"/>
    <w:rsid w:val="00433FD8"/>
    <w:rsid w:val="00436721"/>
    <w:rsid w:val="00466C58"/>
    <w:rsid w:val="004744DF"/>
    <w:rsid w:val="005207EC"/>
    <w:rsid w:val="0052236D"/>
    <w:rsid w:val="00531DE0"/>
    <w:rsid w:val="0054165A"/>
    <w:rsid w:val="005632FF"/>
    <w:rsid w:val="00595624"/>
    <w:rsid w:val="005D461D"/>
    <w:rsid w:val="006059E5"/>
    <w:rsid w:val="006231A6"/>
    <w:rsid w:val="00630E9E"/>
    <w:rsid w:val="006710A2"/>
    <w:rsid w:val="006A06AE"/>
    <w:rsid w:val="00702BDC"/>
    <w:rsid w:val="0075090D"/>
    <w:rsid w:val="0079540D"/>
    <w:rsid w:val="0083690B"/>
    <w:rsid w:val="00857EFE"/>
    <w:rsid w:val="00872FA7"/>
    <w:rsid w:val="008F2688"/>
    <w:rsid w:val="008F3578"/>
    <w:rsid w:val="00904AEB"/>
    <w:rsid w:val="0093508B"/>
    <w:rsid w:val="00951777"/>
    <w:rsid w:val="009E5D3B"/>
    <w:rsid w:val="009F7A8B"/>
    <w:rsid w:val="00A07DF6"/>
    <w:rsid w:val="00AB5915"/>
    <w:rsid w:val="00AC2000"/>
    <w:rsid w:val="00AC77AB"/>
    <w:rsid w:val="00AE0CB8"/>
    <w:rsid w:val="00AE1330"/>
    <w:rsid w:val="00AE53C8"/>
    <w:rsid w:val="00AE7AAE"/>
    <w:rsid w:val="00B1718A"/>
    <w:rsid w:val="00B805ED"/>
    <w:rsid w:val="00C034A0"/>
    <w:rsid w:val="00C83C0A"/>
    <w:rsid w:val="00C90528"/>
    <w:rsid w:val="00CA5E67"/>
    <w:rsid w:val="00CC22E1"/>
    <w:rsid w:val="00CC3B9B"/>
    <w:rsid w:val="00CD2502"/>
    <w:rsid w:val="00CE1B70"/>
    <w:rsid w:val="00CF7026"/>
    <w:rsid w:val="00D0132F"/>
    <w:rsid w:val="00D022AE"/>
    <w:rsid w:val="00D60A8E"/>
    <w:rsid w:val="00D930E6"/>
    <w:rsid w:val="00DA3E29"/>
    <w:rsid w:val="00DD0444"/>
    <w:rsid w:val="00DE409B"/>
    <w:rsid w:val="00DF7122"/>
    <w:rsid w:val="00E01FBE"/>
    <w:rsid w:val="00E43EED"/>
    <w:rsid w:val="00E54C69"/>
    <w:rsid w:val="00E6279B"/>
    <w:rsid w:val="00EF1DCB"/>
    <w:rsid w:val="00EF4947"/>
    <w:rsid w:val="00F01A48"/>
    <w:rsid w:val="00F4781B"/>
    <w:rsid w:val="00F50C06"/>
    <w:rsid w:val="00F72257"/>
    <w:rsid w:val="00F94471"/>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1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18A"/>
    <w:pPr>
      <w:ind w:left="720"/>
      <w:contextualSpacing/>
    </w:pPr>
  </w:style>
  <w:style w:type="paragraph" w:styleId="BalloonText">
    <w:name w:val="Balloon Text"/>
    <w:basedOn w:val="Normal"/>
    <w:link w:val="BalloonTextChar"/>
    <w:uiPriority w:val="99"/>
    <w:semiHidden/>
    <w:rsid w:val="00B17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718A"/>
    <w:rPr>
      <w:rFonts w:ascii="Tahoma" w:hAnsi="Tahoma" w:cs="Tahoma"/>
      <w:sz w:val="16"/>
      <w:szCs w:val="16"/>
    </w:rPr>
  </w:style>
  <w:style w:type="paragraph" w:styleId="Header">
    <w:name w:val="header"/>
    <w:basedOn w:val="Normal"/>
    <w:link w:val="HeaderChar"/>
    <w:uiPriority w:val="99"/>
    <w:rsid w:val="00B1718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1718A"/>
    <w:rPr>
      <w:rFonts w:ascii="Calibri" w:hAnsi="Calibri" w:cs="Times New Roman"/>
    </w:rPr>
  </w:style>
  <w:style w:type="paragraph" w:styleId="Footer">
    <w:name w:val="footer"/>
    <w:basedOn w:val="Normal"/>
    <w:link w:val="FooterChar"/>
    <w:uiPriority w:val="99"/>
    <w:rsid w:val="00B1718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1718A"/>
    <w:rPr>
      <w:rFonts w:ascii="Calibri" w:hAnsi="Calibri" w:cs="Times New Roman"/>
    </w:rPr>
  </w:style>
  <w:style w:type="character" w:customStyle="1" w:styleId="apple-converted-space">
    <w:name w:val="apple-converted-space"/>
    <w:basedOn w:val="DefaultParagraphFont"/>
    <w:rsid w:val="00595624"/>
  </w:style>
  <w:style w:type="paragraph" w:styleId="NormalWeb">
    <w:name w:val="Normal (Web)"/>
    <w:basedOn w:val="Normal"/>
    <w:rsid w:val="00595624"/>
    <w:pPr>
      <w:spacing w:before="100" w:beforeAutospacing="1" w:after="100" w:afterAutospacing="1" w:line="240" w:lineRule="auto"/>
    </w:pPr>
    <w:rPr>
      <w:rFonts w:ascii="Times New Roman" w:eastAsia="Times New Roman" w:hAnsi="Times New Roman"/>
      <w:sz w:val="24"/>
      <w:szCs w:val="24"/>
    </w:rPr>
  </w:style>
  <w:style w:type="paragraph" w:customStyle="1" w:styleId="letterstyle">
    <w:name w:val="letterstyle"/>
    <w:basedOn w:val="Normal"/>
    <w:rsid w:val="00DD0444"/>
    <w:pPr>
      <w:autoSpaceDE w:val="0"/>
      <w:autoSpaceDN w:val="0"/>
      <w:spacing w:after="120" w:line="240" w:lineRule="atLeast"/>
    </w:pPr>
    <w:rPr>
      <w:rFonts w:ascii="Arial" w:eastAsia="Times New Roman" w:hAnsi="Arial" w:cs="Arial"/>
      <w:color w:val="000000"/>
      <w:sz w:val="24"/>
      <w:szCs w:val="24"/>
    </w:rPr>
  </w:style>
  <w:style w:type="character" w:customStyle="1" w:styleId="apple-style-span">
    <w:name w:val="apple-style-span"/>
    <w:basedOn w:val="DefaultParagraphFont"/>
    <w:rsid w:val="00CA5E67"/>
  </w:style>
  <w:style w:type="paragraph" w:styleId="NoSpacing">
    <w:name w:val="No Spacing"/>
    <w:uiPriority w:val="1"/>
    <w:qFormat/>
    <w:rsid w:val="00E43EED"/>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B805ED"/>
    <w:rPr>
      <w:sz w:val="16"/>
      <w:szCs w:val="16"/>
    </w:rPr>
  </w:style>
  <w:style w:type="paragraph" w:styleId="CommentText">
    <w:name w:val="annotation text"/>
    <w:basedOn w:val="Normal"/>
    <w:link w:val="CommentTextChar"/>
    <w:uiPriority w:val="99"/>
    <w:semiHidden/>
    <w:unhideWhenUsed/>
    <w:rsid w:val="00B805ED"/>
    <w:pPr>
      <w:spacing w:line="240" w:lineRule="auto"/>
    </w:pPr>
    <w:rPr>
      <w:sz w:val="20"/>
      <w:szCs w:val="20"/>
    </w:rPr>
  </w:style>
  <w:style w:type="character" w:customStyle="1" w:styleId="CommentTextChar">
    <w:name w:val="Comment Text Char"/>
    <w:basedOn w:val="DefaultParagraphFont"/>
    <w:link w:val="CommentText"/>
    <w:uiPriority w:val="99"/>
    <w:semiHidden/>
    <w:rsid w:val="00B805ED"/>
    <w:rPr>
      <w:sz w:val="20"/>
      <w:szCs w:val="20"/>
    </w:rPr>
  </w:style>
  <w:style w:type="paragraph" w:styleId="CommentSubject">
    <w:name w:val="annotation subject"/>
    <w:basedOn w:val="CommentText"/>
    <w:next w:val="CommentText"/>
    <w:link w:val="CommentSubjectChar"/>
    <w:uiPriority w:val="99"/>
    <w:semiHidden/>
    <w:unhideWhenUsed/>
    <w:rsid w:val="00B805ED"/>
    <w:rPr>
      <w:b/>
      <w:bCs/>
    </w:rPr>
  </w:style>
  <w:style w:type="character" w:customStyle="1" w:styleId="CommentSubjectChar">
    <w:name w:val="Comment Subject Char"/>
    <w:basedOn w:val="CommentTextChar"/>
    <w:link w:val="CommentSubject"/>
    <w:uiPriority w:val="99"/>
    <w:semiHidden/>
    <w:rsid w:val="00B805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1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18A"/>
    <w:pPr>
      <w:ind w:left="720"/>
      <w:contextualSpacing/>
    </w:pPr>
  </w:style>
  <w:style w:type="paragraph" w:styleId="BalloonText">
    <w:name w:val="Balloon Text"/>
    <w:basedOn w:val="Normal"/>
    <w:link w:val="BalloonTextChar"/>
    <w:uiPriority w:val="99"/>
    <w:semiHidden/>
    <w:rsid w:val="00B17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718A"/>
    <w:rPr>
      <w:rFonts w:ascii="Tahoma" w:hAnsi="Tahoma" w:cs="Tahoma"/>
      <w:sz w:val="16"/>
      <w:szCs w:val="16"/>
    </w:rPr>
  </w:style>
  <w:style w:type="paragraph" w:styleId="Header">
    <w:name w:val="header"/>
    <w:basedOn w:val="Normal"/>
    <w:link w:val="HeaderChar"/>
    <w:uiPriority w:val="99"/>
    <w:rsid w:val="00B1718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1718A"/>
    <w:rPr>
      <w:rFonts w:ascii="Calibri" w:hAnsi="Calibri" w:cs="Times New Roman"/>
    </w:rPr>
  </w:style>
  <w:style w:type="paragraph" w:styleId="Footer">
    <w:name w:val="footer"/>
    <w:basedOn w:val="Normal"/>
    <w:link w:val="FooterChar"/>
    <w:uiPriority w:val="99"/>
    <w:rsid w:val="00B1718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1718A"/>
    <w:rPr>
      <w:rFonts w:ascii="Calibri" w:hAnsi="Calibri" w:cs="Times New Roman"/>
    </w:rPr>
  </w:style>
  <w:style w:type="character" w:customStyle="1" w:styleId="apple-converted-space">
    <w:name w:val="apple-converted-space"/>
    <w:basedOn w:val="DefaultParagraphFont"/>
    <w:rsid w:val="00595624"/>
  </w:style>
  <w:style w:type="paragraph" w:styleId="NormalWeb">
    <w:name w:val="Normal (Web)"/>
    <w:basedOn w:val="Normal"/>
    <w:rsid w:val="00595624"/>
    <w:pPr>
      <w:spacing w:before="100" w:beforeAutospacing="1" w:after="100" w:afterAutospacing="1" w:line="240" w:lineRule="auto"/>
    </w:pPr>
    <w:rPr>
      <w:rFonts w:ascii="Times New Roman" w:eastAsia="Times New Roman" w:hAnsi="Times New Roman"/>
      <w:sz w:val="24"/>
      <w:szCs w:val="24"/>
    </w:rPr>
  </w:style>
  <w:style w:type="paragraph" w:customStyle="1" w:styleId="letterstyle">
    <w:name w:val="letterstyle"/>
    <w:basedOn w:val="Normal"/>
    <w:rsid w:val="00DD0444"/>
    <w:pPr>
      <w:autoSpaceDE w:val="0"/>
      <w:autoSpaceDN w:val="0"/>
      <w:spacing w:after="120" w:line="240" w:lineRule="atLeast"/>
    </w:pPr>
    <w:rPr>
      <w:rFonts w:ascii="Arial" w:eastAsia="Times New Roman" w:hAnsi="Arial" w:cs="Arial"/>
      <w:color w:val="000000"/>
      <w:sz w:val="24"/>
      <w:szCs w:val="24"/>
    </w:rPr>
  </w:style>
  <w:style w:type="character" w:customStyle="1" w:styleId="apple-style-span">
    <w:name w:val="apple-style-span"/>
    <w:basedOn w:val="DefaultParagraphFont"/>
    <w:rsid w:val="00CA5E67"/>
  </w:style>
  <w:style w:type="paragraph" w:styleId="NoSpacing">
    <w:name w:val="No Spacing"/>
    <w:uiPriority w:val="1"/>
    <w:qFormat/>
    <w:rsid w:val="00E43EED"/>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B805ED"/>
    <w:rPr>
      <w:sz w:val="16"/>
      <w:szCs w:val="16"/>
    </w:rPr>
  </w:style>
  <w:style w:type="paragraph" w:styleId="CommentText">
    <w:name w:val="annotation text"/>
    <w:basedOn w:val="Normal"/>
    <w:link w:val="CommentTextChar"/>
    <w:uiPriority w:val="99"/>
    <w:semiHidden/>
    <w:unhideWhenUsed/>
    <w:rsid w:val="00B805ED"/>
    <w:pPr>
      <w:spacing w:line="240" w:lineRule="auto"/>
    </w:pPr>
    <w:rPr>
      <w:sz w:val="20"/>
      <w:szCs w:val="20"/>
    </w:rPr>
  </w:style>
  <w:style w:type="character" w:customStyle="1" w:styleId="CommentTextChar">
    <w:name w:val="Comment Text Char"/>
    <w:basedOn w:val="DefaultParagraphFont"/>
    <w:link w:val="CommentText"/>
    <w:uiPriority w:val="99"/>
    <w:semiHidden/>
    <w:rsid w:val="00B805ED"/>
    <w:rPr>
      <w:sz w:val="20"/>
      <w:szCs w:val="20"/>
    </w:rPr>
  </w:style>
  <w:style w:type="paragraph" w:styleId="CommentSubject">
    <w:name w:val="annotation subject"/>
    <w:basedOn w:val="CommentText"/>
    <w:next w:val="CommentText"/>
    <w:link w:val="CommentSubjectChar"/>
    <w:uiPriority w:val="99"/>
    <w:semiHidden/>
    <w:unhideWhenUsed/>
    <w:rsid w:val="00B805ED"/>
    <w:rPr>
      <w:b/>
      <w:bCs/>
    </w:rPr>
  </w:style>
  <w:style w:type="character" w:customStyle="1" w:styleId="CommentSubjectChar">
    <w:name w:val="Comment Subject Char"/>
    <w:basedOn w:val="CommentTextChar"/>
    <w:link w:val="CommentSubject"/>
    <w:uiPriority w:val="99"/>
    <w:semiHidden/>
    <w:rsid w:val="00B805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55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01E9-27CB-43C1-9309-BE682B4F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 Task Force</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Task Force</dc:title>
  <dc:creator>rnerima</dc:creator>
  <cp:lastModifiedBy>Tabaj, Kristi</cp:lastModifiedBy>
  <cp:revision>20</cp:revision>
  <cp:lastPrinted>2012-05-16T12:51:00Z</cp:lastPrinted>
  <dcterms:created xsi:type="dcterms:W3CDTF">2012-05-09T19:33:00Z</dcterms:created>
  <dcterms:modified xsi:type="dcterms:W3CDTF">2012-09-06T13:17:00Z</dcterms:modified>
</cp:coreProperties>
</file>