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C85" w:rsidRPr="006378FD" w:rsidRDefault="002E3378" w:rsidP="006378FD">
      <w:pPr>
        <w:autoSpaceDE w:val="0"/>
        <w:autoSpaceDN w:val="0"/>
        <w:adjustRightInd w:val="0"/>
        <w:spacing w:before="0" w:after="100" w:line="252" w:lineRule="auto"/>
        <w:rPr>
          <w:rFonts w:cs="Garamond"/>
        </w:rPr>
      </w:pPr>
      <w:r w:rsidRPr="006378FD">
        <w:rPr>
          <w:rFonts w:cs="Garamond"/>
        </w:rPr>
        <w:t xml:space="preserve">FFP requires </w:t>
      </w:r>
      <w:r w:rsidR="00456C85" w:rsidRPr="006378FD">
        <w:t>Awardee</w:t>
      </w:r>
      <w:r w:rsidRPr="006378FD">
        <w:rPr>
          <w:rFonts w:cs="Garamond"/>
        </w:rPr>
        <w:t>s to submit Commodity Status Reports and Recipient Status</w:t>
      </w:r>
      <w:r w:rsidR="0028290B" w:rsidRPr="006378FD">
        <w:rPr>
          <w:rFonts w:cs="Garamond"/>
        </w:rPr>
        <w:t xml:space="preserve"> </w:t>
      </w:r>
      <w:r w:rsidR="00311800">
        <w:rPr>
          <w:rFonts w:cs="Garamond"/>
        </w:rPr>
        <w:t>Reports on a quarterly basis.</w:t>
      </w:r>
    </w:p>
    <w:p w:rsidR="00456C85" w:rsidRPr="006378FD" w:rsidRDefault="002E3378" w:rsidP="006378F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after="100" w:line="252" w:lineRule="auto"/>
        <w:contextualSpacing w:val="0"/>
        <w:rPr>
          <w:rFonts w:cs="Garamond"/>
        </w:rPr>
      </w:pPr>
      <w:r w:rsidRPr="006378FD">
        <w:rPr>
          <w:rFonts w:cs="Garamond"/>
        </w:rPr>
        <w:t xml:space="preserve">If losses occur, </w:t>
      </w:r>
      <w:r w:rsidR="00456C85" w:rsidRPr="006378FD">
        <w:t>Awardee</w:t>
      </w:r>
      <w:r w:rsidRPr="006378FD">
        <w:rPr>
          <w:rFonts w:cs="Garamond"/>
        </w:rPr>
        <w:t>s must also co</w:t>
      </w:r>
      <w:r w:rsidR="00311800">
        <w:rPr>
          <w:rFonts w:cs="Garamond"/>
        </w:rPr>
        <w:t>mplete the Loss Summary Report.</w:t>
      </w:r>
    </w:p>
    <w:p w:rsidR="00456C85" w:rsidRPr="006378FD" w:rsidRDefault="002E3378" w:rsidP="006378F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after="200" w:line="252" w:lineRule="auto"/>
        <w:contextualSpacing w:val="0"/>
        <w:rPr>
          <w:rFonts w:cs="Garamond"/>
        </w:rPr>
      </w:pPr>
      <w:r w:rsidRPr="006378FD">
        <w:rPr>
          <w:rFonts w:cs="Garamond"/>
        </w:rPr>
        <w:t>If</w:t>
      </w:r>
      <w:r w:rsidR="0028290B" w:rsidRPr="006378FD">
        <w:rPr>
          <w:rFonts w:cs="Garamond"/>
        </w:rPr>
        <w:t xml:space="preserve"> </w:t>
      </w:r>
      <w:r w:rsidRPr="006378FD">
        <w:rPr>
          <w:rFonts w:cs="Garamond"/>
        </w:rPr>
        <w:t xml:space="preserve">the value of any individual loss exceeds </w:t>
      </w:r>
      <w:r w:rsidR="0042315A">
        <w:rPr>
          <w:rFonts w:cs="Garamond"/>
        </w:rPr>
        <w:t>US</w:t>
      </w:r>
      <w:bookmarkStart w:id="0" w:name="_GoBack"/>
      <w:r w:rsidRPr="006378FD">
        <w:rPr>
          <w:rFonts w:cs="Garamond"/>
        </w:rPr>
        <w:t>$</w:t>
      </w:r>
      <w:bookmarkEnd w:id="0"/>
      <w:r w:rsidRPr="006378FD">
        <w:rPr>
          <w:rFonts w:cs="Garamond"/>
        </w:rPr>
        <w:t xml:space="preserve">500, </w:t>
      </w:r>
      <w:r w:rsidR="00C9466E" w:rsidRPr="006378FD">
        <w:rPr>
          <w:rFonts w:cs="Garamond"/>
        </w:rPr>
        <w:t>Awardee</w:t>
      </w:r>
      <w:r w:rsidRPr="006378FD">
        <w:rPr>
          <w:rFonts w:cs="Garamond"/>
        </w:rPr>
        <w:t xml:space="preserve"> must </w:t>
      </w:r>
      <w:r w:rsidR="00C9466E" w:rsidRPr="006378FD">
        <w:rPr>
          <w:rFonts w:cs="Garamond"/>
        </w:rPr>
        <w:t>complete</w:t>
      </w:r>
      <w:r w:rsidRPr="006378FD">
        <w:rPr>
          <w:rFonts w:cs="Garamond"/>
        </w:rPr>
        <w:t xml:space="preserve"> the Damage or Misuse of</w:t>
      </w:r>
      <w:r w:rsidR="0028290B" w:rsidRPr="006378FD">
        <w:rPr>
          <w:rFonts w:cs="Garamond"/>
        </w:rPr>
        <w:t xml:space="preserve"> </w:t>
      </w:r>
      <w:r w:rsidRPr="006378FD">
        <w:rPr>
          <w:rFonts w:cs="Garamond"/>
        </w:rPr>
        <w:t xml:space="preserve">Commodities Report </w:t>
      </w:r>
      <w:r w:rsidR="006378FD">
        <w:rPr>
          <w:rFonts w:cs="Garamond"/>
        </w:rPr>
        <w:t xml:space="preserve">in QWICR </w:t>
      </w:r>
      <w:r w:rsidRPr="006378FD">
        <w:rPr>
          <w:rFonts w:cs="Garamond"/>
        </w:rPr>
        <w:t>and the Claims Report</w:t>
      </w:r>
      <w:r w:rsidR="00C9466E" w:rsidRPr="006378FD">
        <w:rPr>
          <w:rFonts w:cs="Garamond"/>
        </w:rPr>
        <w:t xml:space="preserve"> forms</w:t>
      </w:r>
      <w:r w:rsidR="00311800">
        <w:rPr>
          <w:rFonts w:cs="Garamond"/>
        </w:rPr>
        <w:t>.</w:t>
      </w:r>
    </w:p>
    <w:p w:rsidR="002E3378" w:rsidRDefault="00456C85" w:rsidP="006378FD">
      <w:pPr>
        <w:autoSpaceDE w:val="0"/>
        <w:autoSpaceDN w:val="0"/>
        <w:adjustRightInd w:val="0"/>
        <w:spacing w:before="0" w:after="200" w:line="252" w:lineRule="auto"/>
        <w:rPr>
          <w:rFonts w:cs="Garamond"/>
        </w:rPr>
      </w:pPr>
      <w:r w:rsidRPr="006378FD">
        <w:t>Awardee</w:t>
      </w:r>
      <w:r w:rsidR="002E3378" w:rsidRPr="006378FD">
        <w:rPr>
          <w:rFonts w:cs="Garamond"/>
        </w:rPr>
        <w:t>s submit these reports on a quarterly basis by</w:t>
      </w:r>
      <w:r w:rsidR="0028290B" w:rsidRPr="006378FD">
        <w:rPr>
          <w:rFonts w:cs="Garamond"/>
        </w:rPr>
        <w:t xml:space="preserve"> </w:t>
      </w:r>
      <w:r w:rsidR="002E3378" w:rsidRPr="006378FD">
        <w:rPr>
          <w:rFonts w:cs="Garamond"/>
        </w:rPr>
        <w:t xml:space="preserve">entering them into QWICR. </w:t>
      </w:r>
      <w:r w:rsidRPr="006378FD">
        <w:t>Awardee</w:t>
      </w:r>
      <w:r w:rsidR="002E3378" w:rsidRPr="006378FD">
        <w:rPr>
          <w:rFonts w:cs="Garamond"/>
        </w:rPr>
        <w:t xml:space="preserve">s enter and verify data prior to submitting the reports </w:t>
      </w:r>
      <w:r w:rsidR="00C9466E" w:rsidRPr="006378FD">
        <w:rPr>
          <w:rFonts w:cs="Garamond"/>
        </w:rPr>
        <w:t>through QWICR</w:t>
      </w:r>
      <w:r w:rsidR="002E3378" w:rsidRPr="006378FD">
        <w:rPr>
          <w:rFonts w:cs="Garamond"/>
        </w:rPr>
        <w:t>. FFP staff then review and approve or reject the submitted reports.</w:t>
      </w:r>
    </w:p>
    <w:p w:rsidR="002C33E5" w:rsidRDefault="002C33E5" w:rsidP="002C33E5">
      <w:pPr>
        <w:autoSpaceDE w:val="0"/>
        <w:autoSpaceDN w:val="0"/>
        <w:adjustRightInd w:val="0"/>
        <w:spacing w:before="0" w:line="252" w:lineRule="auto"/>
        <w:rPr>
          <w:rFonts w:cs="Garamond"/>
        </w:rPr>
      </w:pPr>
      <w:r>
        <w:rPr>
          <w:rFonts w:cs="Garamond"/>
        </w:rPr>
        <w:t>Quarterly reports are due within 30 days after the close of the calendar quarter:</w:t>
      </w:r>
    </w:p>
    <w:p w:rsidR="002C33E5" w:rsidRDefault="002C33E5" w:rsidP="002C33E5">
      <w:pPr>
        <w:autoSpaceDE w:val="0"/>
        <w:autoSpaceDN w:val="0"/>
        <w:adjustRightInd w:val="0"/>
        <w:spacing w:before="0" w:after="0" w:line="252" w:lineRule="auto"/>
        <w:ind w:left="720"/>
        <w:rPr>
          <w:rFonts w:cs="Garamond"/>
        </w:rPr>
      </w:pPr>
      <w:r>
        <w:rPr>
          <w:rFonts w:cs="Garamond"/>
        </w:rPr>
        <w:t>1</w:t>
      </w:r>
      <w:r w:rsidRPr="002C33E5">
        <w:rPr>
          <w:rFonts w:cs="Garamond"/>
          <w:vertAlign w:val="superscript"/>
        </w:rPr>
        <w:t>st</w:t>
      </w:r>
      <w:r>
        <w:rPr>
          <w:rFonts w:cs="Garamond"/>
        </w:rPr>
        <w:t xml:space="preserve"> quarter</w:t>
      </w:r>
      <w:r>
        <w:rPr>
          <w:rFonts w:cs="Garamond"/>
        </w:rPr>
        <w:tab/>
        <w:t>January 31</w:t>
      </w:r>
    </w:p>
    <w:p w:rsidR="002C33E5" w:rsidRDefault="002C33E5" w:rsidP="002C33E5">
      <w:pPr>
        <w:autoSpaceDE w:val="0"/>
        <w:autoSpaceDN w:val="0"/>
        <w:adjustRightInd w:val="0"/>
        <w:spacing w:before="0" w:after="0" w:line="252" w:lineRule="auto"/>
        <w:ind w:left="720"/>
        <w:rPr>
          <w:rFonts w:cs="Garamond"/>
        </w:rPr>
      </w:pPr>
      <w:r>
        <w:rPr>
          <w:rFonts w:cs="Garamond"/>
        </w:rPr>
        <w:t>2</w:t>
      </w:r>
      <w:r w:rsidRPr="002C33E5">
        <w:rPr>
          <w:rFonts w:cs="Garamond"/>
          <w:vertAlign w:val="superscript"/>
        </w:rPr>
        <w:t>nd</w:t>
      </w:r>
      <w:r>
        <w:rPr>
          <w:rFonts w:cs="Garamond"/>
        </w:rPr>
        <w:t xml:space="preserve"> quarter</w:t>
      </w:r>
      <w:r>
        <w:rPr>
          <w:rFonts w:cs="Garamond"/>
        </w:rPr>
        <w:tab/>
        <w:t>April 30</w:t>
      </w:r>
    </w:p>
    <w:p w:rsidR="002C33E5" w:rsidRDefault="002C33E5" w:rsidP="002C33E5">
      <w:pPr>
        <w:autoSpaceDE w:val="0"/>
        <w:autoSpaceDN w:val="0"/>
        <w:adjustRightInd w:val="0"/>
        <w:spacing w:before="0" w:after="0" w:line="252" w:lineRule="auto"/>
        <w:ind w:left="720"/>
        <w:rPr>
          <w:rFonts w:cs="Garamond"/>
        </w:rPr>
      </w:pPr>
      <w:r>
        <w:rPr>
          <w:rFonts w:cs="Garamond"/>
        </w:rPr>
        <w:t>3</w:t>
      </w:r>
      <w:r w:rsidRPr="002C33E5">
        <w:rPr>
          <w:rFonts w:cs="Garamond"/>
          <w:vertAlign w:val="superscript"/>
        </w:rPr>
        <w:t>rd</w:t>
      </w:r>
      <w:r>
        <w:rPr>
          <w:rFonts w:cs="Garamond"/>
        </w:rPr>
        <w:t xml:space="preserve"> quarter</w:t>
      </w:r>
      <w:r>
        <w:rPr>
          <w:rFonts w:cs="Garamond"/>
        </w:rPr>
        <w:tab/>
        <w:t>July 31</w:t>
      </w:r>
    </w:p>
    <w:p w:rsidR="002C33E5" w:rsidRPr="006378FD" w:rsidRDefault="002C33E5" w:rsidP="002C33E5">
      <w:pPr>
        <w:autoSpaceDE w:val="0"/>
        <w:autoSpaceDN w:val="0"/>
        <w:adjustRightInd w:val="0"/>
        <w:spacing w:before="0" w:after="200" w:line="252" w:lineRule="auto"/>
        <w:ind w:left="720"/>
        <w:rPr>
          <w:rFonts w:cs="Garamond"/>
        </w:rPr>
      </w:pPr>
      <w:r>
        <w:rPr>
          <w:rFonts w:cs="Garamond"/>
        </w:rPr>
        <w:t>4</w:t>
      </w:r>
      <w:r w:rsidRPr="002C33E5">
        <w:rPr>
          <w:rFonts w:cs="Garamond"/>
          <w:vertAlign w:val="superscript"/>
        </w:rPr>
        <w:t>th</w:t>
      </w:r>
      <w:r>
        <w:rPr>
          <w:rFonts w:cs="Garamond"/>
        </w:rPr>
        <w:t xml:space="preserve"> quarter</w:t>
      </w:r>
      <w:r>
        <w:rPr>
          <w:rFonts w:cs="Garamond"/>
        </w:rPr>
        <w:tab/>
        <w:t>October 31</w:t>
      </w:r>
    </w:p>
    <w:p w:rsidR="002E3378" w:rsidRPr="006378FD" w:rsidRDefault="002E3378" w:rsidP="006378FD">
      <w:pPr>
        <w:autoSpaceDE w:val="0"/>
        <w:autoSpaceDN w:val="0"/>
        <w:adjustRightInd w:val="0"/>
        <w:spacing w:before="0" w:after="200" w:line="252" w:lineRule="auto"/>
        <w:rPr>
          <w:rFonts w:cs="Garamond-Bold"/>
          <w:b/>
          <w:bCs/>
          <w:color w:val="237990"/>
          <w:sz w:val="24"/>
          <w:szCs w:val="24"/>
        </w:rPr>
      </w:pPr>
      <w:r w:rsidRPr="006378FD">
        <w:rPr>
          <w:rFonts w:cs="Garamond-Bold"/>
          <w:b/>
          <w:bCs/>
          <w:color w:val="237990"/>
          <w:sz w:val="24"/>
          <w:szCs w:val="24"/>
        </w:rPr>
        <w:t>Commodity Status Report (CSR)</w:t>
      </w:r>
    </w:p>
    <w:p w:rsidR="002E3378" w:rsidRPr="006378FD" w:rsidRDefault="002E3378" w:rsidP="006378FD">
      <w:pPr>
        <w:autoSpaceDE w:val="0"/>
        <w:autoSpaceDN w:val="0"/>
        <w:adjustRightInd w:val="0"/>
        <w:spacing w:before="0" w:after="200" w:line="252" w:lineRule="auto"/>
        <w:rPr>
          <w:rFonts w:cs="Garamond"/>
        </w:rPr>
      </w:pPr>
      <w:r w:rsidRPr="006378FD">
        <w:rPr>
          <w:rFonts w:cs="Garamond"/>
        </w:rPr>
        <w:t>A Commodity Status Report is a record of the commodity transactions that occur within a reporting</w:t>
      </w:r>
      <w:r w:rsidR="0028290B" w:rsidRPr="006378FD">
        <w:rPr>
          <w:rFonts w:cs="Garamond"/>
        </w:rPr>
        <w:t xml:space="preserve"> </w:t>
      </w:r>
      <w:r w:rsidR="00311800">
        <w:rPr>
          <w:rFonts w:cs="Garamond"/>
        </w:rPr>
        <w:t>quarter.</w:t>
      </w:r>
      <w:r w:rsidR="00252EAC" w:rsidRPr="006378FD">
        <w:rPr>
          <w:rFonts w:cs="Garamond"/>
        </w:rPr>
        <w:t xml:space="preserve"> </w:t>
      </w:r>
      <w:r w:rsidRPr="006378FD">
        <w:rPr>
          <w:rFonts w:cs="Garamond"/>
        </w:rPr>
        <w:t>The report includes opening and closing balances in warehouses and in transit;</w:t>
      </w:r>
      <w:r w:rsidR="0028290B" w:rsidRPr="006378FD">
        <w:rPr>
          <w:rFonts w:cs="Garamond"/>
        </w:rPr>
        <w:t xml:space="preserve"> </w:t>
      </w:r>
      <w:r w:rsidRPr="006378FD">
        <w:rPr>
          <w:rFonts w:cs="Garamond"/>
        </w:rPr>
        <w:t>commodities received, borrowed, or loaned; commodities distributed or monetized; and</w:t>
      </w:r>
      <w:r w:rsidR="0028290B" w:rsidRPr="006378FD">
        <w:rPr>
          <w:rFonts w:cs="Garamond"/>
        </w:rPr>
        <w:t xml:space="preserve"> </w:t>
      </w:r>
      <w:r w:rsidRPr="006378FD">
        <w:rPr>
          <w:rFonts w:cs="Garamond"/>
        </w:rPr>
        <w:t>commodities lost, damaged, or misused. It shows the total quantities of commodities and records</w:t>
      </w:r>
      <w:r w:rsidR="0028290B" w:rsidRPr="006378FD">
        <w:rPr>
          <w:rFonts w:cs="Garamond"/>
        </w:rPr>
        <w:t xml:space="preserve"> </w:t>
      </w:r>
      <w:r w:rsidRPr="006378FD">
        <w:rPr>
          <w:rFonts w:cs="Garamond"/>
        </w:rPr>
        <w:t>discrepancies.</w:t>
      </w:r>
    </w:p>
    <w:p w:rsidR="00FF35E8" w:rsidRPr="006378FD" w:rsidRDefault="00FF35E8" w:rsidP="00311800">
      <w:pPr>
        <w:pStyle w:val="ListParagraph"/>
        <w:numPr>
          <w:ilvl w:val="0"/>
          <w:numId w:val="8"/>
        </w:numPr>
        <w:spacing w:before="0" w:after="200" w:line="252" w:lineRule="auto"/>
      </w:pPr>
      <w:r w:rsidRPr="006378FD">
        <w:t>Awardees must remove from calculation all dispatches and receipts of commodity between program warehouses to ensure overall inventory is not double-counted during the consolidation.</w:t>
      </w:r>
    </w:p>
    <w:p w:rsidR="00FF35E8" w:rsidRPr="006378FD" w:rsidRDefault="00FF35E8" w:rsidP="00311800">
      <w:pPr>
        <w:pStyle w:val="ListParagraph"/>
        <w:numPr>
          <w:ilvl w:val="0"/>
          <w:numId w:val="8"/>
        </w:numPr>
        <w:spacing w:before="0" w:after="200" w:line="252" w:lineRule="auto"/>
      </w:pPr>
      <w:r w:rsidRPr="006378FD">
        <w:t>When consolidating CSRs, there may be instances where total food is understated because the CSR does not include food in transit between inland warehouses or the CSR d</w:t>
      </w:r>
      <w:r w:rsidR="00311800">
        <w:t>oes</w:t>
      </w:r>
      <w:r w:rsidRPr="006378FD">
        <w:t xml:space="preserve"> not include food in the secondary warehouses.</w:t>
      </w:r>
    </w:p>
    <w:p w:rsidR="002E3378" w:rsidRPr="006378FD" w:rsidRDefault="002E3378" w:rsidP="006378FD">
      <w:pPr>
        <w:autoSpaceDE w:val="0"/>
        <w:autoSpaceDN w:val="0"/>
        <w:adjustRightInd w:val="0"/>
        <w:spacing w:before="0" w:after="200" w:line="252" w:lineRule="auto"/>
        <w:rPr>
          <w:rFonts w:cs="Garamond-Bold"/>
          <w:b/>
          <w:bCs/>
          <w:color w:val="237990"/>
          <w:sz w:val="24"/>
          <w:szCs w:val="24"/>
        </w:rPr>
      </w:pPr>
      <w:r w:rsidRPr="006378FD">
        <w:rPr>
          <w:rFonts w:cs="Garamond-Bold"/>
          <w:b/>
          <w:bCs/>
          <w:color w:val="237990"/>
          <w:sz w:val="24"/>
          <w:szCs w:val="24"/>
        </w:rPr>
        <w:t>Recipient Status Report (RSR)</w:t>
      </w:r>
    </w:p>
    <w:p w:rsidR="002E3378" w:rsidRPr="006378FD" w:rsidRDefault="002E3378" w:rsidP="006378FD">
      <w:pPr>
        <w:autoSpaceDE w:val="0"/>
        <w:autoSpaceDN w:val="0"/>
        <w:adjustRightInd w:val="0"/>
        <w:spacing w:before="0" w:after="200" w:line="252" w:lineRule="auto"/>
        <w:rPr>
          <w:rFonts w:cs="Garamond"/>
        </w:rPr>
      </w:pPr>
      <w:r w:rsidRPr="006378FD">
        <w:rPr>
          <w:rFonts w:cs="Garamond"/>
        </w:rPr>
        <w:t>The Recipient Status Report captures the quantities of commodities that an organization distributes</w:t>
      </w:r>
      <w:r w:rsidR="0028290B" w:rsidRPr="006378FD">
        <w:rPr>
          <w:rFonts w:cs="Garamond"/>
        </w:rPr>
        <w:t xml:space="preserve"> </w:t>
      </w:r>
      <w:r w:rsidRPr="006378FD">
        <w:rPr>
          <w:rFonts w:cs="Garamond"/>
        </w:rPr>
        <w:t>and the n</w:t>
      </w:r>
      <w:r w:rsidR="00311800">
        <w:rPr>
          <w:rFonts w:cs="Garamond"/>
        </w:rPr>
        <w:t>umber of recipients it reaches.</w:t>
      </w:r>
      <w:r w:rsidR="00252EAC" w:rsidRPr="006378FD">
        <w:rPr>
          <w:rFonts w:cs="Garamond"/>
        </w:rPr>
        <w:t xml:space="preserve"> </w:t>
      </w:r>
      <w:r w:rsidRPr="006378FD">
        <w:rPr>
          <w:rFonts w:cs="Garamond"/>
        </w:rPr>
        <w:t>The report also records the annual amounts of</w:t>
      </w:r>
      <w:r w:rsidR="0028290B" w:rsidRPr="006378FD">
        <w:rPr>
          <w:rFonts w:cs="Garamond"/>
        </w:rPr>
        <w:t xml:space="preserve"> </w:t>
      </w:r>
      <w:r w:rsidRPr="006378FD">
        <w:rPr>
          <w:rFonts w:cs="Garamond"/>
        </w:rPr>
        <w:t>commodities that a</w:t>
      </w:r>
      <w:r w:rsidR="00252EAC" w:rsidRPr="006378FD">
        <w:rPr>
          <w:rFonts w:cs="Garamond"/>
        </w:rPr>
        <w:t xml:space="preserve">n </w:t>
      </w:r>
      <w:r w:rsidR="00252EAC" w:rsidRPr="006378FD">
        <w:t>Awardee</w:t>
      </w:r>
      <w:r w:rsidRPr="006378FD">
        <w:rPr>
          <w:rFonts w:cs="Garamond"/>
        </w:rPr>
        <w:t xml:space="preserve"> plans to distribute and the annual number of recipients the </w:t>
      </w:r>
      <w:r w:rsidR="00252EAC" w:rsidRPr="006378FD">
        <w:t>Awardee</w:t>
      </w:r>
      <w:r w:rsidRPr="006378FD">
        <w:rPr>
          <w:rFonts w:cs="Garamond"/>
        </w:rPr>
        <w:t xml:space="preserve"> intends to</w:t>
      </w:r>
      <w:r w:rsidR="0028290B" w:rsidRPr="006378FD">
        <w:rPr>
          <w:rFonts w:cs="Garamond"/>
        </w:rPr>
        <w:t xml:space="preserve"> </w:t>
      </w:r>
      <w:r w:rsidR="00311800">
        <w:rPr>
          <w:rFonts w:cs="Garamond"/>
        </w:rPr>
        <w:t>reach.</w:t>
      </w:r>
      <w:r w:rsidR="00252EAC" w:rsidRPr="006378FD">
        <w:rPr>
          <w:rFonts w:cs="Garamond"/>
        </w:rPr>
        <w:t xml:space="preserve"> </w:t>
      </w:r>
      <w:r w:rsidR="00252EAC" w:rsidRPr="006378FD">
        <w:t>Awardee</w:t>
      </w:r>
      <w:r w:rsidRPr="006378FD">
        <w:rPr>
          <w:rFonts w:cs="Garamond"/>
        </w:rPr>
        <w:t>s enter commodity and recipient information based on the funding</w:t>
      </w:r>
      <w:r w:rsidR="0028290B" w:rsidRPr="006378FD">
        <w:rPr>
          <w:rFonts w:cs="Garamond"/>
        </w:rPr>
        <w:t xml:space="preserve"> </w:t>
      </w:r>
      <w:r w:rsidRPr="006378FD">
        <w:rPr>
          <w:rFonts w:cs="Garamond"/>
        </w:rPr>
        <w:t>source, sector, and activity type.</w:t>
      </w:r>
    </w:p>
    <w:p w:rsidR="002E3378" w:rsidRPr="006378FD" w:rsidRDefault="002E3378" w:rsidP="006378FD">
      <w:pPr>
        <w:autoSpaceDE w:val="0"/>
        <w:autoSpaceDN w:val="0"/>
        <w:adjustRightInd w:val="0"/>
        <w:spacing w:before="0" w:after="200" w:line="252" w:lineRule="auto"/>
        <w:rPr>
          <w:rFonts w:cs="Garamond-Bold"/>
          <w:b/>
          <w:bCs/>
          <w:color w:val="237990"/>
          <w:sz w:val="24"/>
          <w:szCs w:val="24"/>
        </w:rPr>
      </w:pPr>
      <w:r w:rsidRPr="006378FD">
        <w:rPr>
          <w:rFonts w:cs="Garamond-Bold"/>
          <w:b/>
          <w:bCs/>
          <w:color w:val="237990"/>
          <w:sz w:val="24"/>
          <w:szCs w:val="24"/>
        </w:rPr>
        <w:t>Loss Summary Report (LSR)</w:t>
      </w:r>
    </w:p>
    <w:p w:rsidR="002E3378" w:rsidRPr="006378FD" w:rsidRDefault="002E3378" w:rsidP="006378FD">
      <w:pPr>
        <w:autoSpaceDE w:val="0"/>
        <w:autoSpaceDN w:val="0"/>
        <w:adjustRightInd w:val="0"/>
        <w:spacing w:before="0" w:after="200" w:line="252" w:lineRule="auto"/>
        <w:rPr>
          <w:rFonts w:cs="Garamond"/>
        </w:rPr>
      </w:pPr>
      <w:r w:rsidRPr="006378FD">
        <w:rPr>
          <w:rFonts w:cs="Garamond"/>
        </w:rPr>
        <w:t xml:space="preserve">The Loss Summary Report is used to record incidences of missing or damaged commodities. </w:t>
      </w:r>
      <w:r w:rsidR="00252EAC" w:rsidRPr="006378FD">
        <w:t>Awardee</w:t>
      </w:r>
      <w:r w:rsidRPr="006378FD">
        <w:rPr>
          <w:rFonts w:cs="Garamond"/>
        </w:rPr>
        <w:t>s</w:t>
      </w:r>
      <w:r w:rsidR="0028290B" w:rsidRPr="006378FD">
        <w:rPr>
          <w:rFonts w:cs="Garamond"/>
        </w:rPr>
        <w:t xml:space="preserve"> </w:t>
      </w:r>
      <w:r w:rsidRPr="006378FD">
        <w:rPr>
          <w:rFonts w:cs="Garamond"/>
        </w:rPr>
        <w:t>submit the LSR on a quarterly basis for all losses occurring during the quarter. The report captures</w:t>
      </w:r>
      <w:r w:rsidR="0028290B" w:rsidRPr="006378FD">
        <w:rPr>
          <w:rFonts w:cs="Garamond"/>
        </w:rPr>
        <w:t xml:space="preserve"> </w:t>
      </w:r>
      <w:r w:rsidRPr="006378FD">
        <w:rPr>
          <w:rFonts w:cs="Garamond"/>
        </w:rPr>
        <w:t>the type of commodity affected, where the loss occurred, the reason for the loss, and the quantity</w:t>
      </w:r>
      <w:r w:rsidR="0028290B" w:rsidRPr="006378FD">
        <w:rPr>
          <w:rFonts w:cs="Garamond"/>
        </w:rPr>
        <w:t xml:space="preserve"> </w:t>
      </w:r>
      <w:r w:rsidRPr="006378FD">
        <w:rPr>
          <w:rFonts w:cs="Garamond"/>
        </w:rPr>
        <w:t>and doll</w:t>
      </w:r>
      <w:r w:rsidR="00311800">
        <w:rPr>
          <w:rFonts w:cs="Garamond"/>
        </w:rPr>
        <w:t>ar value of the commodity loss.</w:t>
      </w:r>
      <w:r w:rsidR="00252EAC" w:rsidRPr="006378FD">
        <w:rPr>
          <w:rFonts w:cs="Garamond"/>
        </w:rPr>
        <w:t xml:space="preserve"> </w:t>
      </w:r>
      <w:r w:rsidR="00252EAC" w:rsidRPr="006378FD">
        <w:t>Awardee</w:t>
      </w:r>
      <w:r w:rsidRPr="006378FD">
        <w:rPr>
          <w:rFonts w:cs="Garamond"/>
        </w:rPr>
        <w:t>s should include all incidences of loss during a quarter in</w:t>
      </w:r>
      <w:r w:rsidR="0028290B" w:rsidRPr="006378FD">
        <w:rPr>
          <w:rFonts w:cs="Garamond"/>
        </w:rPr>
        <w:t xml:space="preserve"> </w:t>
      </w:r>
      <w:r w:rsidRPr="006378FD">
        <w:rPr>
          <w:rFonts w:cs="Garamond"/>
        </w:rPr>
        <w:t>the same LSR.</w:t>
      </w:r>
    </w:p>
    <w:p w:rsidR="002E3378" w:rsidRPr="006378FD" w:rsidRDefault="00252EAC" w:rsidP="006378FD">
      <w:pPr>
        <w:autoSpaceDE w:val="0"/>
        <w:autoSpaceDN w:val="0"/>
        <w:adjustRightInd w:val="0"/>
        <w:spacing w:before="0" w:after="200" w:line="252" w:lineRule="auto"/>
        <w:rPr>
          <w:rFonts w:cs="Garamond"/>
        </w:rPr>
      </w:pPr>
      <w:r w:rsidRPr="006378FD">
        <w:t>Awardee</w:t>
      </w:r>
      <w:r w:rsidR="002E3378" w:rsidRPr="006378FD">
        <w:rPr>
          <w:rFonts w:cs="Garamond"/>
        </w:rPr>
        <w:t>s should determine the value of the misused, lost, or damaged commodities in either one of two</w:t>
      </w:r>
      <w:r w:rsidR="0028290B" w:rsidRPr="006378FD">
        <w:rPr>
          <w:rFonts w:cs="Garamond"/>
        </w:rPr>
        <w:t xml:space="preserve"> </w:t>
      </w:r>
      <w:r w:rsidR="002E3378" w:rsidRPr="006378FD">
        <w:rPr>
          <w:rFonts w:cs="Garamond"/>
        </w:rPr>
        <w:t>ways</w:t>
      </w:r>
      <w:r w:rsidR="006378FD">
        <w:rPr>
          <w:rFonts w:cs="Garamond"/>
        </w:rPr>
        <w:t>:</w:t>
      </w:r>
      <w:r w:rsidR="002E3378" w:rsidRPr="006378FD">
        <w:rPr>
          <w:rFonts w:cs="Garamond"/>
        </w:rPr>
        <w:t xml:space="preserve"> (1) on the domestic market price at the time and place the loss, misuse, or damage occurred</w:t>
      </w:r>
      <w:r w:rsidR="006378FD">
        <w:rPr>
          <w:rFonts w:cs="Garamond"/>
        </w:rPr>
        <w:t>, o</w:t>
      </w:r>
      <w:r w:rsidR="002E3378" w:rsidRPr="006378FD">
        <w:rPr>
          <w:rFonts w:cs="Garamond"/>
        </w:rPr>
        <w:t xml:space="preserve">r (2) </w:t>
      </w:r>
      <w:r w:rsidR="00311800">
        <w:rPr>
          <w:rFonts w:cs="Garamond"/>
        </w:rPr>
        <w:t xml:space="preserve">by </w:t>
      </w:r>
      <w:r w:rsidR="002E3378" w:rsidRPr="006378FD">
        <w:rPr>
          <w:rFonts w:cs="Garamond"/>
        </w:rPr>
        <w:t>adding the following to determine the FAS plus loss value</w:t>
      </w:r>
      <w:r w:rsidR="006378FD">
        <w:rPr>
          <w:rFonts w:cs="Garamond"/>
        </w:rPr>
        <w:t>.</w:t>
      </w:r>
    </w:p>
    <w:p w:rsidR="002E3378" w:rsidRPr="006378FD" w:rsidRDefault="00311800" w:rsidP="006378F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0" w:after="100" w:line="252" w:lineRule="auto"/>
        <w:contextualSpacing w:val="0"/>
        <w:rPr>
          <w:rFonts w:cs="Garamond"/>
        </w:rPr>
      </w:pPr>
      <w:r>
        <w:rPr>
          <w:rFonts w:cs="Garamond"/>
        </w:rPr>
        <w:lastRenderedPageBreak/>
        <w:t>F</w:t>
      </w:r>
      <w:r w:rsidR="002E3378" w:rsidRPr="006378FD">
        <w:rPr>
          <w:rFonts w:cs="Garamond"/>
        </w:rPr>
        <w:t>ree on board or free along side</w:t>
      </w:r>
      <w:r w:rsidR="00252EAC" w:rsidRPr="006378FD">
        <w:rPr>
          <w:rFonts w:cs="Garamond"/>
        </w:rPr>
        <w:t xml:space="preserve"> </w:t>
      </w:r>
      <w:r w:rsidR="002E3378" w:rsidRPr="006378FD">
        <w:rPr>
          <w:rFonts w:cs="Garamond"/>
        </w:rPr>
        <w:t>commercial export price of the commodity at the time and</w:t>
      </w:r>
      <w:r w:rsidR="0028290B" w:rsidRPr="006378FD">
        <w:rPr>
          <w:rFonts w:cs="Garamond"/>
        </w:rPr>
        <w:t xml:space="preserve"> </w:t>
      </w:r>
      <w:r w:rsidR="006378FD">
        <w:rPr>
          <w:rFonts w:cs="Garamond"/>
        </w:rPr>
        <w:t>place of export</w:t>
      </w:r>
    </w:p>
    <w:p w:rsidR="002E3378" w:rsidRPr="006378FD" w:rsidRDefault="00311800" w:rsidP="006378F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0" w:after="100" w:line="252" w:lineRule="auto"/>
        <w:contextualSpacing w:val="0"/>
        <w:rPr>
          <w:rFonts w:cs="Garamond"/>
        </w:rPr>
      </w:pPr>
      <w:r>
        <w:rPr>
          <w:rFonts w:cs="Garamond"/>
        </w:rPr>
        <w:t>O</w:t>
      </w:r>
      <w:r w:rsidR="002E3378" w:rsidRPr="006378FD">
        <w:rPr>
          <w:rFonts w:cs="Garamond"/>
        </w:rPr>
        <w:t>cean freight charges</w:t>
      </w:r>
    </w:p>
    <w:p w:rsidR="002E3378" w:rsidRPr="006378FD" w:rsidRDefault="002E3378" w:rsidP="00DC690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0" w:after="200" w:line="252" w:lineRule="auto"/>
        <w:contextualSpacing w:val="0"/>
        <w:rPr>
          <w:rFonts w:cs="Garamond"/>
        </w:rPr>
      </w:pPr>
      <w:r w:rsidRPr="006378FD">
        <w:rPr>
          <w:rFonts w:cs="Garamond"/>
        </w:rPr>
        <w:t>“</w:t>
      </w:r>
      <w:r w:rsidR="00311800">
        <w:rPr>
          <w:rFonts w:cs="Garamond"/>
        </w:rPr>
        <w:t>O</w:t>
      </w:r>
      <w:r w:rsidRPr="006378FD">
        <w:rPr>
          <w:rFonts w:cs="Garamond"/>
        </w:rPr>
        <w:t>ther costs incurred by the U.S. Gover</w:t>
      </w:r>
      <w:r w:rsidR="00252EAC" w:rsidRPr="006378FD">
        <w:rPr>
          <w:rFonts w:cs="Garamond"/>
        </w:rPr>
        <w:t>nment in making delivery</w:t>
      </w:r>
      <w:r w:rsidR="00311800">
        <w:rPr>
          <w:rFonts w:cs="Garamond"/>
        </w:rPr>
        <w:t>”</w:t>
      </w:r>
      <w:r w:rsidR="00252EAC" w:rsidRPr="006378FD">
        <w:rPr>
          <w:rFonts w:cs="Garamond"/>
        </w:rPr>
        <w:t xml:space="preserve"> to the </w:t>
      </w:r>
      <w:r w:rsidR="00252EAC" w:rsidRPr="006378FD">
        <w:t>Awardee</w:t>
      </w:r>
    </w:p>
    <w:p w:rsidR="002E3378" w:rsidRPr="006378FD" w:rsidRDefault="002E3378" w:rsidP="006378FD">
      <w:pPr>
        <w:autoSpaceDE w:val="0"/>
        <w:autoSpaceDN w:val="0"/>
        <w:adjustRightInd w:val="0"/>
        <w:spacing w:before="0" w:after="200" w:line="252" w:lineRule="auto"/>
        <w:rPr>
          <w:rFonts w:cs="Garamond-Bold"/>
          <w:b/>
          <w:bCs/>
          <w:color w:val="237990"/>
          <w:sz w:val="24"/>
          <w:szCs w:val="24"/>
        </w:rPr>
      </w:pPr>
      <w:r w:rsidRPr="006378FD">
        <w:rPr>
          <w:rFonts w:cs="Garamond-Bold"/>
          <w:b/>
          <w:bCs/>
          <w:color w:val="237990"/>
          <w:sz w:val="24"/>
          <w:szCs w:val="24"/>
        </w:rPr>
        <w:t>Damage or Misuse of Commodities Report (DMCR)</w:t>
      </w:r>
    </w:p>
    <w:p w:rsidR="002E3378" w:rsidRPr="006378FD" w:rsidRDefault="002E3378" w:rsidP="00DC690C">
      <w:pPr>
        <w:autoSpaceDE w:val="0"/>
        <w:autoSpaceDN w:val="0"/>
        <w:adjustRightInd w:val="0"/>
        <w:spacing w:before="0" w:after="200" w:line="252" w:lineRule="auto"/>
        <w:rPr>
          <w:rFonts w:cs="Garamond"/>
        </w:rPr>
      </w:pPr>
      <w:r w:rsidRPr="006378FD">
        <w:rPr>
          <w:rFonts w:cs="Garamond"/>
        </w:rPr>
        <w:t>This is a required report for any loss that occurs as a result of a post-shipping incident</w:t>
      </w:r>
      <w:r w:rsidR="00311800">
        <w:rPr>
          <w:rFonts w:cs="Garamond"/>
        </w:rPr>
        <w:t>,</w:t>
      </w:r>
      <w:r w:rsidRPr="006378FD">
        <w:rPr>
          <w:rFonts w:cs="Garamond"/>
        </w:rPr>
        <w:t xml:space="preserve"> if the lost,</w:t>
      </w:r>
      <w:r w:rsidR="0028290B" w:rsidRPr="006378FD">
        <w:rPr>
          <w:rFonts w:cs="Garamond"/>
        </w:rPr>
        <w:t xml:space="preserve"> </w:t>
      </w:r>
      <w:r w:rsidRPr="006378FD">
        <w:rPr>
          <w:rFonts w:cs="Garamond"/>
        </w:rPr>
        <w:t>damaged, or misused commodities are valued at</w:t>
      </w:r>
      <w:r w:rsidR="0042315A">
        <w:rPr>
          <w:rFonts w:cs="Garamond"/>
        </w:rPr>
        <w:t xml:space="preserve"> US</w:t>
      </w:r>
      <w:r w:rsidRPr="006378FD">
        <w:rPr>
          <w:rFonts w:cs="Garamond"/>
        </w:rPr>
        <w:t>$500 or more. The report records information</w:t>
      </w:r>
      <w:r w:rsidR="0028290B" w:rsidRPr="006378FD">
        <w:rPr>
          <w:rFonts w:cs="Garamond"/>
        </w:rPr>
        <w:t xml:space="preserve"> </w:t>
      </w:r>
      <w:r w:rsidRPr="006378FD">
        <w:rPr>
          <w:rFonts w:cs="Garamond"/>
        </w:rPr>
        <w:t>regarding the loss incident, including</w:t>
      </w:r>
      <w:r w:rsidR="00311800">
        <w:rPr>
          <w:rFonts w:cs="Garamond"/>
        </w:rPr>
        <w:t>:</w:t>
      </w:r>
      <w:r w:rsidRPr="006378FD">
        <w:rPr>
          <w:rFonts w:cs="Garamond"/>
        </w:rPr>
        <w:t xml:space="preserve"> the type of commodities affected</w:t>
      </w:r>
      <w:r w:rsidR="00311800">
        <w:rPr>
          <w:rFonts w:cs="Garamond"/>
        </w:rPr>
        <w:t>,</w:t>
      </w:r>
      <w:r w:rsidRPr="006378FD">
        <w:rPr>
          <w:rFonts w:cs="Garamond"/>
        </w:rPr>
        <w:t xml:space="preserve"> the type of loss, and the</w:t>
      </w:r>
      <w:r w:rsidR="0028290B" w:rsidRPr="006378FD">
        <w:rPr>
          <w:rFonts w:cs="Garamond"/>
        </w:rPr>
        <w:t xml:space="preserve"> </w:t>
      </w:r>
      <w:r w:rsidRPr="006378FD">
        <w:rPr>
          <w:rFonts w:cs="Garamond"/>
        </w:rPr>
        <w:t>reason for the loss.</w:t>
      </w:r>
      <w:r w:rsidR="00252EAC" w:rsidRPr="006378FD">
        <w:rPr>
          <w:rFonts w:cs="Garamond"/>
        </w:rPr>
        <w:t xml:space="preserve"> </w:t>
      </w:r>
      <w:r w:rsidRPr="006378FD">
        <w:rPr>
          <w:rFonts w:cs="Garamond"/>
        </w:rPr>
        <w:t>The report also captures information regarding liability for the loss and claims</w:t>
      </w:r>
      <w:r w:rsidR="0028290B" w:rsidRPr="006378FD">
        <w:rPr>
          <w:rFonts w:cs="Garamond"/>
        </w:rPr>
        <w:t xml:space="preserve"> </w:t>
      </w:r>
      <w:r w:rsidRPr="006378FD">
        <w:rPr>
          <w:rFonts w:cs="Garamond"/>
        </w:rPr>
        <w:t xml:space="preserve">filed by the </w:t>
      </w:r>
      <w:r w:rsidR="00252EAC" w:rsidRPr="006378FD">
        <w:t>Awardee</w:t>
      </w:r>
      <w:r w:rsidRPr="006378FD">
        <w:rPr>
          <w:rFonts w:cs="Garamond"/>
        </w:rPr>
        <w:t xml:space="preserve">. In addition to completing the DMCR, </w:t>
      </w:r>
      <w:r w:rsidR="00252EAC" w:rsidRPr="006378FD">
        <w:t>Awardee</w:t>
      </w:r>
      <w:r w:rsidRPr="006378FD">
        <w:rPr>
          <w:rFonts w:cs="Garamond"/>
        </w:rPr>
        <w:t xml:space="preserve">s must also </w:t>
      </w:r>
      <w:r w:rsidR="00C9466E" w:rsidRPr="006378FD">
        <w:rPr>
          <w:rFonts w:cs="Garamond"/>
        </w:rPr>
        <w:t>complete</w:t>
      </w:r>
      <w:r w:rsidRPr="006378FD">
        <w:rPr>
          <w:rFonts w:cs="Garamond"/>
        </w:rPr>
        <w:t xml:space="preserve"> a</w:t>
      </w:r>
      <w:r w:rsidR="0028290B" w:rsidRPr="006378FD">
        <w:rPr>
          <w:rFonts w:cs="Garamond"/>
        </w:rPr>
        <w:t xml:space="preserve"> </w:t>
      </w:r>
      <w:r w:rsidRPr="006378FD">
        <w:rPr>
          <w:rFonts w:cs="Garamond"/>
        </w:rPr>
        <w:t>Claims Report.</w:t>
      </w:r>
    </w:p>
    <w:p w:rsidR="002E3378" w:rsidRPr="006378FD" w:rsidRDefault="002E3378" w:rsidP="00DC690C">
      <w:pPr>
        <w:autoSpaceDE w:val="0"/>
        <w:autoSpaceDN w:val="0"/>
        <w:adjustRightInd w:val="0"/>
        <w:spacing w:before="0" w:after="200" w:line="252" w:lineRule="auto"/>
        <w:rPr>
          <w:rFonts w:cs="Garamond-Bold"/>
          <w:b/>
          <w:bCs/>
          <w:color w:val="237990"/>
          <w:sz w:val="24"/>
          <w:szCs w:val="24"/>
        </w:rPr>
      </w:pPr>
      <w:r w:rsidRPr="006378FD">
        <w:rPr>
          <w:rFonts w:cs="Garamond-Bold"/>
          <w:b/>
          <w:bCs/>
          <w:color w:val="237990"/>
          <w:sz w:val="24"/>
          <w:szCs w:val="24"/>
        </w:rPr>
        <w:t>Claims Report</w:t>
      </w:r>
    </w:p>
    <w:p w:rsidR="002E3378" w:rsidRPr="006378FD" w:rsidRDefault="002E3378" w:rsidP="006378FD">
      <w:pPr>
        <w:autoSpaceDE w:val="0"/>
        <w:autoSpaceDN w:val="0"/>
        <w:adjustRightInd w:val="0"/>
        <w:spacing w:before="0" w:after="200" w:line="252" w:lineRule="auto"/>
        <w:rPr>
          <w:rFonts w:cs="Garamond"/>
          <w:color w:val="237990"/>
          <w:sz w:val="24"/>
          <w:szCs w:val="24"/>
        </w:rPr>
      </w:pPr>
      <w:r w:rsidRPr="006378FD">
        <w:rPr>
          <w:rFonts w:cs="Garamond"/>
        </w:rPr>
        <w:t xml:space="preserve">The Claims Report is required for every post-shipping loss over </w:t>
      </w:r>
      <w:r w:rsidR="0042315A">
        <w:rPr>
          <w:rFonts w:cs="Garamond"/>
        </w:rPr>
        <w:t>US</w:t>
      </w:r>
      <w:r w:rsidRPr="006378FD">
        <w:rPr>
          <w:rFonts w:cs="Garamond"/>
        </w:rPr>
        <w:t>$500. The report documents the</w:t>
      </w:r>
      <w:r w:rsidR="0028290B" w:rsidRPr="006378FD">
        <w:rPr>
          <w:rFonts w:cs="Garamond"/>
        </w:rPr>
        <w:t xml:space="preserve"> </w:t>
      </w:r>
      <w:r w:rsidRPr="006378FD">
        <w:rPr>
          <w:rFonts w:cs="Garamond"/>
        </w:rPr>
        <w:t xml:space="preserve">value of the claim, communication between the </w:t>
      </w:r>
      <w:r w:rsidR="00252EAC" w:rsidRPr="006378FD">
        <w:t>Awardee</w:t>
      </w:r>
      <w:r w:rsidRPr="006378FD">
        <w:rPr>
          <w:rFonts w:cs="Garamond"/>
        </w:rPr>
        <w:t xml:space="preserve"> and FFP officers regarding the claim, amounts</w:t>
      </w:r>
      <w:r w:rsidR="0028290B" w:rsidRPr="006378FD">
        <w:rPr>
          <w:rFonts w:cs="Garamond"/>
        </w:rPr>
        <w:t xml:space="preserve"> </w:t>
      </w:r>
      <w:r w:rsidRPr="006378FD">
        <w:rPr>
          <w:rFonts w:cs="Garamond"/>
        </w:rPr>
        <w:t xml:space="preserve">paid on the claim, administrative costs incurred by the </w:t>
      </w:r>
      <w:r w:rsidR="00252EAC" w:rsidRPr="006378FD">
        <w:t>Awardee</w:t>
      </w:r>
      <w:r w:rsidRPr="006378FD">
        <w:rPr>
          <w:rFonts w:cs="Garamond"/>
        </w:rPr>
        <w:t xml:space="preserve"> to pursue the claim</w:t>
      </w:r>
      <w:r w:rsidR="00C9466E" w:rsidRPr="006378FD">
        <w:rPr>
          <w:rFonts w:cs="Garamond"/>
        </w:rPr>
        <w:t>, and reimbursement to the USG</w:t>
      </w:r>
      <w:r w:rsidRPr="006378FD">
        <w:rPr>
          <w:rFonts w:cs="Garamond"/>
        </w:rPr>
        <w:t>.</w:t>
      </w:r>
    </w:p>
    <w:p w:rsidR="002E3378" w:rsidRPr="006378FD" w:rsidRDefault="002E3378" w:rsidP="006378FD">
      <w:pPr>
        <w:autoSpaceDE w:val="0"/>
        <w:autoSpaceDN w:val="0"/>
        <w:adjustRightInd w:val="0"/>
        <w:spacing w:before="0" w:after="200" w:line="252" w:lineRule="auto"/>
        <w:rPr>
          <w:rFonts w:cs="Garamond-Bold"/>
          <w:b/>
          <w:bCs/>
          <w:color w:val="237990"/>
          <w:sz w:val="24"/>
          <w:szCs w:val="24"/>
        </w:rPr>
      </w:pPr>
      <w:r w:rsidRPr="006378FD">
        <w:rPr>
          <w:rFonts w:cs="Garamond-Bold"/>
          <w:b/>
          <w:bCs/>
          <w:color w:val="237990"/>
          <w:sz w:val="24"/>
          <w:szCs w:val="24"/>
        </w:rPr>
        <w:t>Commodity Complaint</w:t>
      </w:r>
    </w:p>
    <w:p w:rsidR="002E3378" w:rsidRPr="006378FD" w:rsidRDefault="002E3378" w:rsidP="006378FD">
      <w:pPr>
        <w:autoSpaceDE w:val="0"/>
        <w:autoSpaceDN w:val="0"/>
        <w:adjustRightInd w:val="0"/>
        <w:spacing w:before="0" w:after="200" w:line="252" w:lineRule="auto"/>
        <w:rPr>
          <w:rFonts w:cs="Garamond"/>
        </w:rPr>
      </w:pPr>
      <w:r w:rsidRPr="006378FD">
        <w:rPr>
          <w:rFonts w:cs="Garamond"/>
        </w:rPr>
        <w:t>The Commodity Complaint is a</w:t>
      </w:r>
      <w:r w:rsidR="00677476">
        <w:rPr>
          <w:rFonts w:cs="Garamond"/>
        </w:rPr>
        <w:t>n optional report within QWICR.</w:t>
      </w:r>
      <w:r w:rsidR="00252EAC" w:rsidRPr="006378FD">
        <w:rPr>
          <w:rFonts w:cs="Garamond"/>
        </w:rPr>
        <w:t xml:space="preserve"> </w:t>
      </w:r>
      <w:r w:rsidR="00252EAC" w:rsidRPr="006378FD">
        <w:t>Awardee</w:t>
      </w:r>
      <w:r w:rsidRPr="006378FD">
        <w:rPr>
          <w:rFonts w:cs="Garamond"/>
        </w:rPr>
        <w:t>s should only use this report</w:t>
      </w:r>
      <w:r w:rsidR="0028290B" w:rsidRPr="006378FD">
        <w:rPr>
          <w:rFonts w:cs="Garamond"/>
        </w:rPr>
        <w:t xml:space="preserve"> </w:t>
      </w:r>
      <w:r w:rsidRPr="006378FD">
        <w:rPr>
          <w:rFonts w:cs="Garamond"/>
        </w:rPr>
        <w:t xml:space="preserve">when a DMCR is </w:t>
      </w:r>
      <w:r w:rsidRPr="002C33E5">
        <w:rPr>
          <w:rFonts w:cs="Garamond"/>
          <w:b/>
        </w:rPr>
        <w:t>not required</w:t>
      </w:r>
      <w:r w:rsidRPr="006378FD">
        <w:rPr>
          <w:rFonts w:cs="Garamond"/>
        </w:rPr>
        <w:t>. This form allows</w:t>
      </w:r>
      <w:r w:rsidR="00677476">
        <w:rPr>
          <w:rFonts w:cs="Garamond"/>
        </w:rPr>
        <w:t xml:space="preserve"> the</w:t>
      </w:r>
      <w:r w:rsidRPr="006378FD">
        <w:rPr>
          <w:rFonts w:cs="Garamond"/>
        </w:rPr>
        <w:t xml:space="preserve"> </w:t>
      </w:r>
      <w:r w:rsidR="00C9466E" w:rsidRPr="006378FD">
        <w:t>Awardee</w:t>
      </w:r>
      <w:r w:rsidRPr="006378FD">
        <w:rPr>
          <w:rFonts w:cs="Garamond"/>
        </w:rPr>
        <w:t xml:space="preserve"> to report all non-loss issues with</w:t>
      </w:r>
      <w:r w:rsidR="0028290B" w:rsidRPr="006378FD">
        <w:rPr>
          <w:rFonts w:cs="Garamond"/>
        </w:rPr>
        <w:t xml:space="preserve"> </w:t>
      </w:r>
      <w:r w:rsidRPr="006378FD">
        <w:rPr>
          <w:rFonts w:cs="Garamond"/>
        </w:rPr>
        <w:t>commodities, such as packaging prob</w:t>
      </w:r>
      <w:r w:rsidR="00677476">
        <w:rPr>
          <w:rFonts w:cs="Garamond"/>
        </w:rPr>
        <w:t>lems or discolored commodities.</w:t>
      </w:r>
      <w:r w:rsidR="00456C85" w:rsidRPr="006378FD">
        <w:rPr>
          <w:rFonts w:cs="Garamond"/>
        </w:rPr>
        <w:t xml:space="preserve"> </w:t>
      </w:r>
      <w:r w:rsidRPr="006378FD">
        <w:rPr>
          <w:rFonts w:cs="Garamond"/>
        </w:rPr>
        <w:t>The Commodity Complaint</w:t>
      </w:r>
      <w:r w:rsidR="0028290B" w:rsidRPr="006378FD">
        <w:rPr>
          <w:rFonts w:cs="Garamond"/>
        </w:rPr>
        <w:t xml:space="preserve"> </w:t>
      </w:r>
      <w:r w:rsidRPr="006378FD">
        <w:rPr>
          <w:rFonts w:cs="Garamond"/>
        </w:rPr>
        <w:t>is accessible on the main CSR, RSR, and LSR pages.</w:t>
      </w:r>
    </w:p>
    <w:p w:rsidR="002E3378" w:rsidRPr="006378FD" w:rsidRDefault="002E3378" w:rsidP="006378FD">
      <w:pPr>
        <w:autoSpaceDE w:val="0"/>
        <w:autoSpaceDN w:val="0"/>
        <w:adjustRightInd w:val="0"/>
        <w:spacing w:before="0" w:after="200" w:line="252" w:lineRule="auto"/>
        <w:rPr>
          <w:rFonts w:cs="Garamond-Bold"/>
          <w:b/>
          <w:bCs/>
          <w:color w:val="237990"/>
          <w:sz w:val="24"/>
          <w:szCs w:val="24"/>
        </w:rPr>
      </w:pPr>
      <w:r w:rsidRPr="006378FD">
        <w:rPr>
          <w:rFonts w:cs="Garamond-Bold"/>
          <w:b/>
          <w:bCs/>
          <w:color w:val="237990"/>
          <w:sz w:val="24"/>
          <w:szCs w:val="24"/>
        </w:rPr>
        <w:t>Monetization Performance Report (MPR)</w:t>
      </w:r>
    </w:p>
    <w:p w:rsidR="002E3378" w:rsidRPr="006378FD" w:rsidRDefault="002E3378" w:rsidP="006378FD">
      <w:pPr>
        <w:autoSpaceDE w:val="0"/>
        <w:autoSpaceDN w:val="0"/>
        <w:adjustRightInd w:val="0"/>
        <w:spacing w:before="0" w:after="200" w:line="252" w:lineRule="auto"/>
      </w:pPr>
      <w:r w:rsidRPr="006378FD">
        <w:rPr>
          <w:rFonts w:cs="Garamond"/>
        </w:rPr>
        <w:t xml:space="preserve">The Monetization Performance Report is a required report for all </w:t>
      </w:r>
      <w:r w:rsidR="00456C85" w:rsidRPr="006378FD">
        <w:t>Awardee</w:t>
      </w:r>
      <w:r w:rsidRPr="006378FD">
        <w:rPr>
          <w:rFonts w:cs="Garamond"/>
        </w:rPr>
        <w:t>s that monetize commodities.</w:t>
      </w:r>
      <w:r w:rsidR="0028290B" w:rsidRPr="006378FD">
        <w:rPr>
          <w:rFonts w:cs="Garamond"/>
        </w:rPr>
        <w:t xml:space="preserve"> </w:t>
      </w:r>
      <w:r w:rsidRPr="006378FD">
        <w:rPr>
          <w:rFonts w:cs="Garamond"/>
        </w:rPr>
        <w:t>It captures information from calls forward and commodity sales. The MPR reconciles estimated</w:t>
      </w:r>
      <w:r w:rsidR="0028290B" w:rsidRPr="006378FD">
        <w:rPr>
          <w:rFonts w:cs="Garamond"/>
        </w:rPr>
        <w:t xml:space="preserve"> </w:t>
      </w:r>
      <w:r w:rsidRPr="006378FD">
        <w:rPr>
          <w:rFonts w:cs="Garamond"/>
        </w:rPr>
        <w:t>costs, commodity amounts, and sales prices against quantities received, costs incurred, and actual</w:t>
      </w:r>
      <w:r w:rsidR="0028290B" w:rsidRPr="006378FD">
        <w:rPr>
          <w:rFonts w:cs="Garamond"/>
        </w:rPr>
        <w:t xml:space="preserve"> </w:t>
      </w:r>
      <w:r w:rsidRPr="006378FD">
        <w:rPr>
          <w:rFonts w:cs="Garamond"/>
        </w:rPr>
        <w:t>sales prices.</w:t>
      </w:r>
      <w:r w:rsidR="00456C85" w:rsidRPr="006378FD">
        <w:rPr>
          <w:rFonts w:cs="Garamond"/>
        </w:rPr>
        <w:t xml:space="preserve"> </w:t>
      </w:r>
      <w:r w:rsidRPr="006378FD">
        <w:rPr>
          <w:rFonts w:cs="Garamond"/>
        </w:rPr>
        <w:t xml:space="preserve">It allows </w:t>
      </w:r>
      <w:r w:rsidR="00456C85" w:rsidRPr="006378FD">
        <w:t>Awardee</w:t>
      </w:r>
      <w:r w:rsidRPr="006378FD">
        <w:rPr>
          <w:rFonts w:cs="Garamond"/>
        </w:rPr>
        <w:t>s to analyze the results of commodity monetization against planned</w:t>
      </w:r>
      <w:r w:rsidR="0028290B" w:rsidRPr="006378FD">
        <w:rPr>
          <w:rFonts w:cs="Garamond"/>
        </w:rPr>
        <w:t xml:space="preserve"> </w:t>
      </w:r>
      <w:r w:rsidRPr="006378FD">
        <w:rPr>
          <w:rFonts w:cs="Garamond"/>
        </w:rPr>
        <w:t>performance</w:t>
      </w:r>
      <w:r w:rsidR="00C9466E" w:rsidRPr="006378FD">
        <w:rPr>
          <w:rFonts w:cs="Garamond"/>
        </w:rPr>
        <w:t>, and recovery per dollar</w:t>
      </w:r>
      <w:r w:rsidRPr="006378FD">
        <w:rPr>
          <w:rFonts w:cs="Garamond"/>
        </w:rPr>
        <w:t>.</w:t>
      </w:r>
    </w:p>
    <w:sectPr w:rsidR="002E3378" w:rsidRPr="006378FD" w:rsidSect="00FF35E8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56E" w:rsidRDefault="0011756E" w:rsidP="00FF35E8">
      <w:pPr>
        <w:spacing w:before="0" w:after="0"/>
      </w:pPr>
      <w:r>
        <w:separator/>
      </w:r>
    </w:p>
  </w:endnote>
  <w:endnote w:type="continuationSeparator" w:id="0">
    <w:p w:rsidR="0011756E" w:rsidRDefault="0011756E" w:rsidP="00FF35E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54255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FF35E8" w:rsidRPr="00651406" w:rsidRDefault="00FF35E8">
            <w:pPr>
              <w:pStyle w:val="Footer"/>
              <w:jc w:val="center"/>
            </w:pPr>
            <w:r w:rsidRPr="00651406">
              <w:t xml:space="preserve">Page </w:t>
            </w:r>
            <w:r w:rsidR="001061B4" w:rsidRPr="00651406">
              <w:fldChar w:fldCharType="begin"/>
            </w:r>
            <w:r w:rsidRPr="00651406">
              <w:instrText xml:space="preserve"> PAGE </w:instrText>
            </w:r>
            <w:r w:rsidR="001061B4" w:rsidRPr="00651406">
              <w:fldChar w:fldCharType="separate"/>
            </w:r>
            <w:r w:rsidR="0042315A">
              <w:rPr>
                <w:noProof/>
              </w:rPr>
              <w:t>1</w:t>
            </w:r>
            <w:r w:rsidR="001061B4" w:rsidRPr="00651406">
              <w:fldChar w:fldCharType="end"/>
            </w:r>
            <w:r w:rsidRPr="00651406">
              <w:t xml:space="preserve"> of </w:t>
            </w:r>
            <w:r w:rsidR="001061B4" w:rsidRPr="00651406">
              <w:fldChar w:fldCharType="begin"/>
            </w:r>
            <w:r w:rsidRPr="00651406">
              <w:instrText xml:space="preserve"> NUMPAGES  </w:instrText>
            </w:r>
            <w:r w:rsidR="001061B4" w:rsidRPr="00651406">
              <w:fldChar w:fldCharType="separate"/>
            </w:r>
            <w:r w:rsidR="0042315A">
              <w:rPr>
                <w:noProof/>
              </w:rPr>
              <w:t>2</w:t>
            </w:r>
            <w:r w:rsidR="001061B4" w:rsidRPr="00651406">
              <w:fldChar w:fldCharType="end"/>
            </w:r>
          </w:p>
        </w:sdtContent>
      </w:sdt>
    </w:sdtContent>
  </w:sdt>
  <w:p w:rsidR="00FF35E8" w:rsidRDefault="00FF35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56E" w:rsidRDefault="0011756E" w:rsidP="00FF35E8">
      <w:pPr>
        <w:spacing w:before="0" w:after="0"/>
      </w:pPr>
      <w:r>
        <w:separator/>
      </w:r>
    </w:p>
  </w:footnote>
  <w:footnote w:type="continuationSeparator" w:id="0">
    <w:p w:rsidR="0011756E" w:rsidRDefault="0011756E" w:rsidP="00FF35E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5E8" w:rsidRPr="00C9466E" w:rsidRDefault="00FF35E8" w:rsidP="00FF35E8">
    <w:pPr>
      <w:pStyle w:val="Header"/>
      <w:jc w:val="center"/>
      <w:rPr>
        <w:rFonts w:ascii="Calibri" w:hAnsi="Calibri" w:cs="Garamond-Bold"/>
        <w:bCs/>
        <w:sz w:val="24"/>
        <w:szCs w:val="24"/>
      </w:rPr>
    </w:pPr>
    <w:r w:rsidRPr="00651406">
      <w:rPr>
        <w:rFonts w:ascii="Calibri" w:hAnsi="Calibri" w:cs="Garamond-Bold"/>
        <w:b/>
        <w:bCs/>
        <w:color w:val="237990"/>
        <w:sz w:val="28"/>
        <w:szCs w:val="28"/>
      </w:rPr>
      <w:t>Commodity Reporting Process</w:t>
    </w:r>
    <w:r w:rsidR="00BF2939" w:rsidRPr="00651406">
      <w:rPr>
        <w:rFonts w:ascii="Calibri" w:hAnsi="Calibri" w:cs="Garamond-Bold"/>
        <w:b/>
        <w:bCs/>
        <w:color w:val="237990"/>
        <w:sz w:val="28"/>
        <w:szCs w:val="28"/>
      </w:rPr>
      <w:t xml:space="preserve"> GUIDELINES</w:t>
    </w:r>
  </w:p>
  <w:p w:rsidR="005970D2" w:rsidRPr="005970D2" w:rsidRDefault="005970D2" w:rsidP="00FF35E8">
    <w:pPr>
      <w:pStyle w:val="Header"/>
      <w:jc w:val="center"/>
      <w:rPr>
        <w:sz w:val="18"/>
        <w:szCs w:val="18"/>
      </w:rPr>
    </w:pPr>
    <w:r w:rsidRPr="005970D2">
      <w:rPr>
        <w:bCs/>
        <w:sz w:val="18"/>
        <w:szCs w:val="18"/>
      </w:rPr>
      <w:t xml:space="preserve">(adapted from </w:t>
    </w:r>
    <w:r w:rsidRPr="006A68B5">
      <w:rPr>
        <w:bCs/>
        <w:i/>
        <w:sz w:val="18"/>
        <w:szCs w:val="18"/>
      </w:rPr>
      <w:t>QWICR</w:t>
    </w:r>
    <w:r w:rsidR="006A68B5" w:rsidRPr="006A68B5">
      <w:rPr>
        <w:bCs/>
        <w:i/>
        <w:sz w:val="18"/>
        <w:szCs w:val="18"/>
      </w:rPr>
      <w:t xml:space="preserve"> User’s Guide</w:t>
    </w:r>
    <w:r w:rsidRPr="005970D2">
      <w:rPr>
        <w:bCs/>
        <w:sz w:val="18"/>
        <w:szCs w:val="18"/>
      </w:rPr>
      <w:t>, USAID Food For Peace)</w:t>
    </w:r>
    <w:r w:rsidR="002B2DFE">
      <w:rPr>
        <w:bCs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5780"/>
    <w:multiLevelType w:val="hybridMultilevel"/>
    <w:tmpl w:val="03B6DD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D0836"/>
    <w:multiLevelType w:val="hybridMultilevel"/>
    <w:tmpl w:val="802221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42AE0"/>
    <w:multiLevelType w:val="hybridMultilevel"/>
    <w:tmpl w:val="90A0D4BA"/>
    <w:lvl w:ilvl="0" w:tplc="39888BDC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B62405B4">
      <w:start w:val="4"/>
      <w:numFmt w:val="bullet"/>
      <w:lvlText w:val="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98C2B190">
      <w:start w:val="4"/>
      <w:numFmt w:val="bullet"/>
      <w:lvlText w:val="–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425E99"/>
    <w:multiLevelType w:val="hybridMultilevel"/>
    <w:tmpl w:val="CF8E0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077C70"/>
    <w:multiLevelType w:val="hybridMultilevel"/>
    <w:tmpl w:val="6B30AF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A375F"/>
    <w:multiLevelType w:val="hybridMultilevel"/>
    <w:tmpl w:val="D8723546"/>
    <w:lvl w:ilvl="0" w:tplc="39888BD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E3FA6F52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98C2B190">
      <w:start w:val="4"/>
      <w:numFmt w:val="bullet"/>
      <w:lvlText w:val="–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25B19"/>
    <w:multiLevelType w:val="hybridMultilevel"/>
    <w:tmpl w:val="51EAF542"/>
    <w:lvl w:ilvl="0" w:tplc="39888BD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E3FA6F52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98C2B190">
      <w:start w:val="4"/>
      <w:numFmt w:val="bullet"/>
      <w:lvlText w:val="–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A5BFD"/>
    <w:multiLevelType w:val="hybridMultilevel"/>
    <w:tmpl w:val="8F900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30D"/>
    <w:rsid w:val="00026341"/>
    <w:rsid w:val="000B75D5"/>
    <w:rsid w:val="001061B4"/>
    <w:rsid w:val="0011756E"/>
    <w:rsid w:val="00165D64"/>
    <w:rsid w:val="001A5600"/>
    <w:rsid w:val="001E5B67"/>
    <w:rsid w:val="002243F3"/>
    <w:rsid w:val="002305AD"/>
    <w:rsid w:val="00230F56"/>
    <w:rsid w:val="00252EAC"/>
    <w:rsid w:val="002770F7"/>
    <w:rsid w:val="0028290B"/>
    <w:rsid w:val="002B2DFE"/>
    <w:rsid w:val="002C33E5"/>
    <w:rsid w:val="002E0D1A"/>
    <w:rsid w:val="002E3378"/>
    <w:rsid w:val="00311800"/>
    <w:rsid w:val="003228D7"/>
    <w:rsid w:val="00341B54"/>
    <w:rsid w:val="00356CB5"/>
    <w:rsid w:val="00371343"/>
    <w:rsid w:val="003B5DD1"/>
    <w:rsid w:val="00404A18"/>
    <w:rsid w:val="00407BBC"/>
    <w:rsid w:val="0042315A"/>
    <w:rsid w:val="00456C85"/>
    <w:rsid w:val="004E103B"/>
    <w:rsid w:val="005665E5"/>
    <w:rsid w:val="005970D2"/>
    <w:rsid w:val="005972E7"/>
    <w:rsid w:val="005B721B"/>
    <w:rsid w:val="006036BA"/>
    <w:rsid w:val="006378FD"/>
    <w:rsid w:val="00651406"/>
    <w:rsid w:val="00656458"/>
    <w:rsid w:val="00677476"/>
    <w:rsid w:val="006A68B5"/>
    <w:rsid w:val="006A6903"/>
    <w:rsid w:val="007621CA"/>
    <w:rsid w:val="007D7F33"/>
    <w:rsid w:val="008C2583"/>
    <w:rsid w:val="009234CB"/>
    <w:rsid w:val="0098030D"/>
    <w:rsid w:val="00A05DD7"/>
    <w:rsid w:val="00A074B4"/>
    <w:rsid w:val="00A16626"/>
    <w:rsid w:val="00A219D3"/>
    <w:rsid w:val="00A4109D"/>
    <w:rsid w:val="00A61817"/>
    <w:rsid w:val="00A76CAC"/>
    <w:rsid w:val="00B86958"/>
    <w:rsid w:val="00B8716D"/>
    <w:rsid w:val="00BA7F34"/>
    <w:rsid w:val="00BF2939"/>
    <w:rsid w:val="00C50556"/>
    <w:rsid w:val="00C84AE3"/>
    <w:rsid w:val="00C9466E"/>
    <w:rsid w:val="00CA502F"/>
    <w:rsid w:val="00CC693D"/>
    <w:rsid w:val="00D60CCD"/>
    <w:rsid w:val="00DC690C"/>
    <w:rsid w:val="00F23A02"/>
    <w:rsid w:val="00FA74F1"/>
    <w:rsid w:val="00FF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F2381"/>
  <w15:docId w15:val="{C29D3A2B-3D0C-4D26-9513-1EB8F0FCE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30D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8030D"/>
    <w:pPr>
      <w:ind w:left="720"/>
      <w:contextualSpacing/>
    </w:pPr>
  </w:style>
  <w:style w:type="table" w:styleId="TableGrid">
    <w:name w:val="Table Grid"/>
    <w:basedOn w:val="TableNormal"/>
    <w:rsid w:val="00980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35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F35E8"/>
  </w:style>
  <w:style w:type="paragraph" w:styleId="Footer">
    <w:name w:val="footer"/>
    <w:basedOn w:val="Normal"/>
    <w:link w:val="FooterChar"/>
    <w:uiPriority w:val="99"/>
    <w:unhideWhenUsed/>
    <w:rsid w:val="00FF35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F35E8"/>
  </w:style>
  <w:style w:type="paragraph" w:styleId="BalloonText">
    <w:name w:val="Balloon Text"/>
    <w:basedOn w:val="Normal"/>
    <w:link w:val="BalloonTextChar"/>
    <w:uiPriority w:val="99"/>
    <w:semiHidden/>
    <w:unhideWhenUsed/>
    <w:rsid w:val="00FF35E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Vaughn Inc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Vaughn, Virginia</cp:lastModifiedBy>
  <cp:revision>4</cp:revision>
  <cp:lastPrinted>2015-12-06T16:23:00Z</cp:lastPrinted>
  <dcterms:created xsi:type="dcterms:W3CDTF">2017-03-16T12:00:00Z</dcterms:created>
  <dcterms:modified xsi:type="dcterms:W3CDTF">2017-03-16T14:01:00Z</dcterms:modified>
</cp:coreProperties>
</file>