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BC" w:rsidRPr="009D0B9C" w:rsidRDefault="00464FBC" w:rsidP="009D0B9C">
      <w:pPr>
        <w:spacing w:before="0" w:after="200" w:line="252" w:lineRule="auto"/>
      </w:pPr>
      <w:r w:rsidRPr="009D0B9C">
        <w:t>The physical inventory is a count of all</w:t>
      </w:r>
      <w:r w:rsidR="00DA2141">
        <w:t xml:space="preserve"> commodities in the warehouse. </w:t>
      </w:r>
      <w:r w:rsidRPr="009D0B9C">
        <w:t>The actual amount of commodit</w:t>
      </w:r>
      <w:r w:rsidR="00DA2141">
        <w:t xml:space="preserve">y counted is the true balance. </w:t>
      </w:r>
      <w:r w:rsidRPr="009D0B9C">
        <w:t xml:space="preserve">After commodities are counted and documented, count balances are </w:t>
      </w:r>
      <w:r w:rsidR="009D0B9C">
        <w:t>reconciled with</w:t>
      </w:r>
      <w:r w:rsidRPr="009D0B9C">
        <w:t xml:space="preserve"> stock cards and warehouse ledgers.</w:t>
      </w:r>
    </w:p>
    <w:p w:rsidR="00FB34CE" w:rsidRPr="009D0B9C" w:rsidRDefault="00464FBC" w:rsidP="009D0B9C">
      <w:pPr>
        <w:spacing w:before="0" w:after="200" w:line="252" w:lineRule="auto"/>
        <w:rPr>
          <w:rFonts w:eastAsia="Times New Roman" w:cs="Times New Roman"/>
        </w:rPr>
      </w:pPr>
      <w:r w:rsidRPr="009D0B9C">
        <w:rPr>
          <w:rFonts w:eastAsia="Times New Roman" w:cs="Times New Roman"/>
        </w:rPr>
        <w:t xml:space="preserve">If the physical </w:t>
      </w:r>
      <w:r w:rsidR="00B61CC9" w:rsidRPr="009D0B9C">
        <w:rPr>
          <w:rFonts w:eastAsia="Times New Roman" w:cs="Times New Roman"/>
        </w:rPr>
        <w:t>inventory</w:t>
      </w:r>
      <w:r w:rsidRPr="009D0B9C">
        <w:rPr>
          <w:rFonts w:eastAsia="Times New Roman" w:cs="Times New Roman"/>
        </w:rPr>
        <w:t>, stack cards</w:t>
      </w:r>
      <w:r w:rsidR="00DA2141">
        <w:rPr>
          <w:rFonts w:eastAsia="Times New Roman" w:cs="Times New Roman"/>
        </w:rPr>
        <w:t>,</w:t>
      </w:r>
      <w:r w:rsidRPr="009D0B9C">
        <w:rPr>
          <w:rFonts w:eastAsia="Times New Roman" w:cs="Times New Roman"/>
        </w:rPr>
        <w:t xml:space="preserve"> and ledgers do not reconcile, and there is no justifiable reason for discrepancies, the person who is responsible for the warehouse </w:t>
      </w:r>
      <w:r w:rsidR="009D0B9C">
        <w:rPr>
          <w:rFonts w:eastAsia="Times New Roman" w:cs="Times New Roman"/>
        </w:rPr>
        <w:t>will</w:t>
      </w:r>
      <w:r w:rsidRPr="009D0B9C">
        <w:rPr>
          <w:rFonts w:eastAsia="Times New Roman" w:cs="Times New Roman"/>
        </w:rPr>
        <w:t xml:space="preserve"> be held liable for the value of any differences.</w:t>
      </w:r>
    </w:p>
    <w:p w:rsidR="00DE71E9" w:rsidRPr="009D0B9C" w:rsidRDefault="00DE71E9" w:rsidP="00DE71E9">
      <w:pPr>
        <w:rPr>
          <w:b/>
          <w:bCs/>
          <w:color w:val="237990"/>
          <w:sz w:val="24"/>
          <w:szCs w:val="24"/>
        </w:rPr>
      </w:pPr>
      <w:r w:rsidRPr="009D0B9C">
        <w:rPr>
          <w:b/>
          <w:bCs/>
          <w:color w:val="237990"/>
          <w:sz w:val="24"/>
          <w:szCs w:val="24"/>
        </w:rPr>
        <w:t xml:space="preserve">Recommended Procedures for Physical Inventory Count </w:t>
      </w:r>
    </w:p>
    <w:p w:rsidR="00DE71E9" w:rsidRPr="009D0B9C" w:rsidRDefault="00A1528D" w:rsidP="009D0B9C">
      <w:pPr>
        <w:numPr>
          <w:ilvl w:val="0"/>
          <w:numId w:val="1"/>
        </w:numPr>
        <w:spacing w:before="0" w:after="200" w:line="252" w:lineRule="auto"/>
        <w:rPr>
          <w:rFonts w:eastAsia="Times New Roman" w:cs="Times New Roman"/>
        </w:rPr>
      </w:pPr>
      <w:r w:rsidRPr="009D0B9C">
        <w:t xml:space="preserve">Staff </w:t>
      </w:r>
      <w:r w:rsidRPr="004B473A">
        <w:rPr>
          <w:b/>
        </w:rPr>
        <w:t>not directly connected to the warehousing operation</w:t>
      </w:r>
      <w:r w:rsidRPr="009D0B9C">
        <w:t xml:space="preserve"> (e.g., project manager, </w:t>
      </w:r>
      <w:r w:rsidR="00DA2141">
        <w:t>A</w:t>
      </w:r>
      <w:r w:rsidRPr="009D0B9C">
        <w:t xml:space="preserve">dministration </w:t>
      </w:r>
      <w:r w:rsidR="004B473A">
        <w:t xml:space="preserve">and </w:t>
      </w:r>
      <w:r w:rsidR="00DA2141">
        <w:t>F</w:t>
      </w:r>
      <w:r w:rsidR="004B473A">
        <w:t xml:space="preserve">inance </w:t>
      </w:r>
      <w:r w:rsidRPr="009D0B9C">
        <w:t>staff, staff from other projects or agencies) conduct an independent physical count of all commodities at least quarterly</w:t>
      </w:r>
      <w:r w:rsidR="00DE71E9" w:rsidRPr="009D0B9C">
        <w:rPr>
          <w:bCs/>
        </w:rPr>
        <w:t xml:space="preserve">, usually in preparation for the quarterly commodity status report. </w:t>
      </w:r>
      <w:r w:rsidRPr="009D0B9C">
        <w:t>Warehouse staff conduct periodic physical counts of all commodities as part of their commodity management responsibilities.</w:t>
      </w:r>
      <w:r w:rsidR="00DE71E9" w:rsidRPr="009D0B9C">
        <w:rPr>
          <w:bCs/>
        </w:rPr>
        <w:t xml:space="preserve"> </w:t>
      </w:r>
    </w:p>
    <w:p w:rsidR="00B61CC9" w:rsidRPr="009D0B9C" w:rsidRDefault="00B61CC9" w:rsidP="009D0B9C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</w:pPr>
      <w:r w:rsidRPr="009D0B9C">
        <w:rPr>
          <w:bCs/>
        </w:rPr>
        <w:t xml:space="preserve">To prevent possible diversion, conduct the physical inventory on the </w:t>
      </w:r>
      <w:r w:rsidRPr="004B473A">
        <w:rPr>
          <w:b/>
          <w:bCs/>
        </w:rPr>
        <w:t>same day at all warehouses</w:t>
      </w:r>
      <w:r w:rsidRPr="009D0B9C">
        <w:rPr>
          <w:bCs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5"/>
        <w:gridCol w:w="2330"/>
      </w:tblGrid>
      <w:tr w:rsidR="00FB34CE" w:rsidRPr="009D0B9C" w:rsidTr="00B61CC9">
        <w:tc>
          <w:tcPr>
            <w:tcW w:w="7110" w:type="dxa"/>
          </w:tcPr>
          <w:p w:rsidR="00FB34CE" w:rsidRPr="009D0B9C" w:rsidRDefault="00FB34CE" w:rsidP="006B46F1">
            <w:pPr>
              <w:numPr>
                <w:ilvl w:val="0"/>
                <w:numId w:val="1"/>
              </w:numPr>
              <w:spacing w:before="0" w:after="80" w:line="252" w:lineRule="auto"/>
            </w:pPr>
            <w:r w:rsidRPr="009D0B9C">
              <w:t xml:space="preserve">To facilitate </w:t>
            </w:r>
            <w:r w:rsidR="00B61CC9" w:rsidRPr="009D0B9C">
              <w:t>counting</w:t>
            </w:r>
            <w:r w:rsidRPr="009D0B9C">
              <w:t xml:space="preserve">, ensure the </w:t>
            </w:r>
            <w:r w:rsidRPr="004B473A">
              <w:rPr>
                <w:b/>
              </w:rPr>
              <w:t>sides of all stacks are flush</w:t>
            </w:r>
            <w:r w:rsidRPr="009D0B9C">
              <w:t xml:space="preserve"> (in other words</w:t>
            </w:r>
            <w:r w:rsidR="00DA2141">
              <w:t>,</w:t>
            </w:r>
            <w:r w:rsidRPr="009D0B9C">
              <w:t xml:space="preserve"> straight) and the </w:t>
            </w:r>
            <w:r w:rsidRPr="004B473A">
              <w:rPr>
                <w:b/>
              </w:rPr>
              <w:t>tops are level</w:t>
            </w:r>
            <w:r w:rsidRPr="009D0B9C">
              <w:t>. For any stack that i</w:t>
            </w:r>
            <w:r w:rsidR="008C0B8A" w:rsidRPr="009D0B9C">
              <w:t>s</w:t>
            </w:r>
            <w:r w:rsidRPr="009D0B9C">
              <w:t xml:space="preserve"> not uniform, remove sufficient units until the sides a</w:t>
            </w:r>
            <w:r w:rsidR="00DA2141">
              <w:t>re flush and the top is level.</w:t>
            </w:r>
          </w:p>
          <w:p w:rsidR="00FB34CE" w:rsidRPr="009D0B9C" w:rsidRDefault="00FB34CE" w:rsidP="00DA2141">
            <w:pPr>
              <w:spacing w:before="0" w:after="200" w:line="252" w:lineRule="auto"/>
              <w:ind w:left="360"/>
            </w:pPr>
            <w:r w:rsidRPr="009D0B9C">
              <w:t xml:space="preserve">With </w:t>
            </w:r>
            <w:r w:rsidR="00DA2141">
              <w:t>the removed units, create a “</w:t>
            </w:r>
            <w:r w:rsidRPr="009D0B9C">
              <w:t>partial</w:t>
            </w:r>
            <w:r w:rsidR="00DA2141">
              <w:t>”</w:t>
            </w:r>
            <w:r w:rsidRPr="009D0B9C">
              <w:t xml:space="preserve"> stack immediately adjacent to the flush and level stack.</w:t>
            </w:r>
          </w:p>
        </w:tc>
        <w:tc>
          <w:tcPr>
            <w:tcW w:w="2340" w:type="dxa"/>
          </w:tcPr>
          <w:p w:rsidR="00FB34CE" w:rsidRPr="009D0B9C" w:rsidRDefault="00FB34CE" w:rsidP="009D0B9C">
            <w:pPr>
              <w:spacing w:before="0" w:after="200" w:line="252" w:lineRule="auto"/>
              <w:rPr>
                <w:rFonts w:eastAsia="Times New Roman" w:cs="Times New Roman"/>
              </w:rPr>
            </w:pPr>
            <w:r w:rsidRPr="009D0B9C"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1165860" cy="975360"/>
                  <wp:effectExtent l="19050" t="0" r="0" b="0"/>
                  <wp:docPr id="17" name="Picture 15" descr="stack face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ck face 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1E9" w:rsidRPr="009D0B9C" w:rsidRDefault="00DE71E9" w:rsidP="009D0B9C">
      <w:pPr>
        <w:numPr>
          <w:ilvl w:val="0"/>
          <w:numId w:val="1"/>
        </w:numPr>
        <w:spacing w:before="0" w:after="200" w:line="252" w:lineRule="auto"/>
        <w:rPr>
          <w:bCs/>
        </w:rPr>
      </w:pPr>
      <w:r w:rsidRPr="009D0B9C">
        <w:rPr>
          <w:bCs/>
        </w:rPr>
        <w:t xml:space="preserve">Close and </w:t>
      </w:r>
      <w:r w:rsidRPr="004B473A">
        <w:rPr>
          <w:b/>
          <w:bCs/>
        </w:rPr>
        <w:t>lock all warehouses</w:t>
      </w:r>
      <w:r w:rsidRPr="00DA2141">
        <w:rPr>
          <w:bCs/>
        </w:rPr>
        <w:t xml:space="preserve"> </w:t>
      </w:r>
      <w:r w:rsidRPr="009D0B9C">
        <w:rPr>
          <w:bCs/>
        </w:rPr>
        <w:t xml:space="preserve">during the </w:t>
      </w:r>
      <w:r w:rsidR="00FB34CE" w:rsidRPr="009D0B9C">
        <w:rPr>
          <w:bCs/>
        </w:rPr>
        <w:t>physical inventory</w:t>
      </w:r>
      <w:r w:rsidRPr="009D0B9C">
        <w:rPr>
          <w:bCs/>
        </w:rPr>
        <w:t>.</w:t>
      </w:r>
    </w:p>
    <w:p w:rsidR="009D0B9C" w:rsidRPr="009D0B9C" w:rsidRDefault="009D0B9C" w:rsidP="009D0B9C">
      <w:pPr>
        <w:numPr>
          <w:ilvl w:val="0"/>
          <w:numId w:val="1"/>
        </w:numPr>
        <w:spacing w:before="0" w:after="200" w:line="252" w:lineRule="auto"/>
        <w:rPr>
          <w:bCs/>
        </w:rPr>
      </w:pPr>
      <w:r w:rsidRPr="004B473A">
        <w:rPr>
          <w:b/>
        </w:rPr>
        <w:t>If stacks are not interlaced, or if the physical inventory is being conducted as part of a potential loss investigation, stacks must be dismantled and each unit counted</w:t>
      </w:r>
      <w:r w:rsidRPr="00DA2141">
        <w:t>.</w:t>
      </w:r>
      <w:r w:rsidR="00DA2141">
        <w:rPr>
          <w:bCs/>
        </w:rPr>
        <w:t xml:space="preserve"> </w:t>
      </w:r>
      <w:r>
        <w:rPr>
          <w:bCs/>
        </w:rPr>
        <w:t>Otherwise, c</w:t>
      </w:r>
      <w:r w:rsidR="00737A21" w:rsidRPr="009D0B9C">
        <w:rPr>
          <w:bCs/>
        </w:rPr>
        <w:t xml:space="preserve">ount the number of units in every </w:t>
      </w:r>
      <w:r w:rsidR="00295476" w:rsidRPr="009D0B9C">
        <w:rPr>
          <w:bCs/>
        </w:rPr>
        <w:t>interlaced stack as follows: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89"/>
        <w:gridCol w:w="30"/>
        <w:gridCol w:w="3236"/>
      </w:tblGrid>
      <w:tr w:rsidR="00B61CC9" w:rsidRPr="009D0B9C" w:rsidTr="006B46F1"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CC9" w:rsidRPr="006B46F1" w:rsidRDefault="00B61CC9" w:rsidP="006B46F1">
            <w:pPr>
              <w:pStyle w:val="ListParagraph"/>
              <w:numPr>
                <w:ilvl w:val="0"/>
                <w:numId w:val="3"/>
              </w:numPr>
              <w:spacing w:before="0" w:line="252" w:lineRule="auto"/>
              <w:ind w:left="576" w:hanging="288"/>
              <w:contextualSpacing w:val="0"/>
              <w:rPr>
                <w:b/>
              </w:rPr>
            </w:pPr>
            <w:r w:rsidRPr="006B46F1">
              <w:t xml:space="preserve">Climb to the top to observe that the stack is whole and </w:t>
            </w:r>
            <w:r w:rsidR="00DA2141">
              <w:t xml:space="preserve">that </w:t>
            </w:r>
            <w:r w:rsidRPr="006B46F1">
              <w:t>no units have been taken from the center.</w:t>
            </w:r>
          </w:p>
        </w:tc>
      </w:tr>
      <w:tr w:rsidR="00DE71E9" w:rsidRPr="009D0B9C" w:rsidTr="006B46F1"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1E9" w:rsidRPr="006B46F1" w:rsidRDefault="00DE71E9" w:rsidP="006B46F1">
            <w:pPr>
              <w:pStyle w:val="ListParagraph"/>
              <w:numPr>
                <w:ilvl w:val="0"/>
                <w:numId w:val="3"/>
              </w:numPr>
              <w:spacing w:before="0" w:line="252" w:lineRule="auto"/>
              <w:ind w:left="576" w:hanging="288"/>
              <w:contextualSpacing w:val="0"/>
            </w:pPr>
            <w:r w:rsidRPr="006B46F1">
              <w:t xml:space="preserve">Count the </w:t>
            </w:r>
            <w:r w:rsidRPr="004B473A">
              <w:rPr>
                <w:b/>
              </w:rPr>
              <w:t xml:space="preserve">number of units </w:t>
            </w:r>
            <w:r w:rsidR="00CC2AA2" w:rsidRPr="004B473A">
              <w:rPr>
                <w:b/>
              </w:rPr>
              <w:t>in</w:t>
            </w:r>
            <w:r w:rsidRPr="004B473A">
              <w:rPr>
                <w:b/>
              </w:rPr>
              <w:t xml:space="preserve"> two completely interlaced layers</w:t>
            </w:r>
            <w:r w:rsidR="009C2D1A" w:rsidRPr="004B473A">
              <w:rPr>
                <w:b/>
              </w:rPr>
              <w:t>-on the face of the stack</w:t>
            </w:r>
            <w:r w:rsidRPr="006B46F1">
              <w:t>. (Two completely interlaced layers have parallel sides.)</w:t>
            </w:r>
          </w:p>
          <w:p w:rsidR="00DE71E9" w:rsidRPr="006B46F1" w:rsidRDefault="00DE71E9" w:rsidP="00DA2141">
            <w:pPr>
              <w:spacing w:before="0" w:line="252" w:lineRule="auto"/>
              <w:ind w:left="864" w:right="864"/>
            </w:pPr>
            <w:r w:rsidRPr="006B46F1">
              <w:t xml:space="preserve">In the illustration to the right, there are </w:t>
            </w:r>
            <w:r w:rsidR="00DA2141">
              <w:rPr>
                <w:b/>
              </w:rPr>
              <w:t>three</w:t>
            </w:r>
            <w:r w:rsidRPr="006B46F1">
              <w:rPr>
                <w:b/>
              </w:rPr>
              <w:t xml:space="preserve"> interlaced units in two layers</w:t>
            </w:r>
            <w:r w:rsidRPr="006B46F1">
              <w:t>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E9" w:rsidRPr="009D0B9C" w:rsidRDefault="00DE71E9" w:rsidP="006B46F1">
            <w:pPr>
              <w:pStyle w:val="ListParagraph"/>
              <w:spacing w:before="0" w:after="0" w:line="252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D0B9C">
              <w:rPr>
                <w:noProof/>
                <w:sz w:val="20"/>
                <w:szCs w:val="20"/>
              </w:rPr>
              <w:drawing>
                <wp:inline distT="0" distB="0" distL="0" distR="0">
                  <wp:extent cx="1882902" cy="1205484"/>
                  <wp:effectExtent l="19050" t="0" r="3048" b="0"/>
                  <wp:docPr id="9" name="Picture 0" descr="f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902" cy="120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E9" w:rsidRPr="009D0B9C" w:rsidTr="006B46F1"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764" w:rsidRPr="006B46F1" w:rsidRDefault="0002777E" w:rsidP="006B46F1">
            <w:pPr>
              <w:pStyle w:val="ListParagraph"/>
              <w:numPr>
                <w:ilvl w:val="0"/>
                <w:numId w:val="3"/>
              </w:numPr>
              <w:spacing w:before="0" w:line="252" w:lineRule="auto"/>
              <w:ind w:left="576" w:hanging="288"/>
              <w:contextualSpacing w:val="0"/>
            </w:pPr>
            <w:r w:rsidRPr="006B46F1">
              <w:t xml:space="preserve">Count the </w:t>
            </w:r>
            <w:r w:rsidRPr="004B473A">
              <w:rPr>
                <w:b/>
              </w:rPr>
              <w:t>number of layers</w:t>
            </w:r>
            <w:r w:rsidRPr="006B46F1">
              <w:t xml:space="preserve"> from the floor to the top of the stack.  </w:t>
            </w:r>
          </w:p>
          <w:p w:rsidR="00DE71E9" w:rsidRPr="006B46F1" w:rsidRDefault="0002777E" w:rsidP="00DA2141">
            <w:pPr>
              <w:pStyle w:val="ListParagraph"/>
              <w:spacing w:before="0" w:after="200" w:line="252" w:lineRule="auto"/>
              <w:ind w:left="864" w:right="864"/>
              <w:contextualSpacing w:val="0"/>
            </w:pPr>
            <w:r w:rsidRPr="006B46F1">
              <w:t xml:space="preserve">There are </w:t>
            </w:r>
            <w:r w:rsidR="00DA2141">
              <w:rPr>
                <w:b/>
              </w:rPr>
              <w:t>eight</w:t>
            </w:r>
            <w:r w:rsidRPr="006B46F1">
              <w:rPr>
                <w:b/>
              </w:rPr>
              <w:t xml:space="preserve"> layers</w:t>
            </w:r>
            <w:r w:rsidRPr="006B46F1">
              <w:t xml:space="preserve"> illustrated </w:t>
            </w:r>
            <w:r w:rsidR="00CC2AA2" w:rsidRPr="006B46F1">
              <w:t>here</w:t>
            </w:r>
            <w:r w:rsidRPr="006B46F1">
              <w:t>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E9" w:rsidRPr="009D0B9C" w:rsidRDefault="0002777E" w:rsidP="006B46F1">
            <w:pPr>
              <w:pStyle w:val="ListParagraph"/>
              <w:spacing w:before="0" w:line="252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9D0B9C">
              <w:rPr>
                <w:noProof/>
                <w:sz w:val="20"/>
                <w:szCs w:val="20"/>
              </w:rPr>
              <w:drawing>
                <wp:inline distT="0" distB="0" distL="0" distR="0">
                  <wp:extent cx="1872234" cy="1301496"/>
                  <wp:effectExtent l="19050" t="0" r="0" b="0"/>
                  <wp:docPr id="14" name="Picture 13" descr="lay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yers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34" cy="130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E9" w:rsidRPr="009D0B9C" w:rsidTr="006B46F1"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77E" w:rsidRPr="006B46F1" w:rsidRDefault="0002777E" w:rsidP="006B46F1">
            <w:pPr>
              <w:pStyle w:val="ListParagraph"/>
              <w:numPr>
                <w:ilvl w:val="0"/>
                <w:numId w:val="3"/>
              </w:numPr>
              <w:spacing w:before="0" w:line="252" w:lineRule="auto"/>
              <w:ind w:left="576" w:hanging="288"/>
              <w:contextualSpacing w:val="0"/>
            </w:pPr>
            <w:r w:rsidRPr="006B46F1">
              <w:lastRenderedPageBreak/>
              <w:t xml:space="preserve">Calculate the </w:t>
            </w:r>
            <w:r w:rsidR="00DA2141">
              <w:rPr>
                <w:b/>
              </w:rPr>
              <w:t>number of units in one “</w:t>
            </w:r>
            <w:r w:rsidRPr="004B473A">
              <w:rPr>
                <w:b/>
              </w:rPr>
              <w:t>block</w:t>
            </w:r>
            <w:r w:rsidR="00DA2141">
              <w:rPr>
                <w:b/>
              </w:rPr>
              <w:t>”</w:t>
            </w:r>
            <w:r w:rsidRPr="006B46F1">
              <w:t xml:space="preserve"> by multiplying the number of units on the face of two completely interlaced layers, times the number of layers.  </w:t>
            </w:r>
          </w:p>
          <w:p w:rsidR="0002777E" w:rsidRPr="006B46F1" w:rsidRDefault="0002777E" w:rsidP="006B46F1">
            <w:pPr>
              <w:spacing w:before="0" w:line="252" w:lineRule="auto"/>
              <w:ind w:left="720"/>
            </w:pPr>
            <w:r w:rsidRPr="006B46F1">
              <w:t>In the illustration, one block has 3 x 8 = 24 units.</w:t>
            </w:r>
          </w:p>
          <w:p w:rsidR="00DE71E9" w:rsidRPr="009D0B9C" w:rsidRDefault="006F5BD4" w:rsidP="006B46F1">
            <w:pPr>
              <w:spacing w:before="0" w:line="252" w:lineRule="auto"/>
              <w:ind w:left="288"/>
              <w:rPr>
                <w:sz w:val="20"/>
                <w:szCs w:val="20"/>
              </w:rPr>
            </w:pPr>
            <w:r w:rsidRPr="006B46F1">
              <w:rPr>
                <w:b/>
              </w:rPr>
              <w:t>Note:</w:t>
            </w:r>
            <w:r w:rsidRPr="006B46F1">
              <w:t xml:space="preserve"> If the number of layers is not even (divisible by 2), the number of units in a block must be calculated manually.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E9" w:rsidRPr="009D0B9C" w:rsidRDefault="00DE71E9" w:rsidP="009D0B9C">
            <w:pPr>
              <w:pStyle w:val="ListParagraph"/>
              <w:spacing w:before="0" w:after="200" w:line="252" w:lineRule="auto"/>
              <w:ind w:left="0"/>
              <w:contextualSpacing w:val="0"/>
              <w:jc w:val="center"/>
            </w:pPr>
            <w:r w:rsidRPr="009D0B9C">
              <w:rPr>
                <w:noProof/>
              </w:rPr>
              <w:drawing>
                <wp:inline distT="0" distB="0" distL="0" distR="0">
                  <wp:extent cx="1888236" cy="1328166"/>
                  <wp:effectExtent l="19050" t="0" r="0" b="0"/>
                  <wp:docPr id="13" name="Picture 2" descr="b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k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36" cy="132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D4" w:rsidRPr="009D0B9C" w:rsidTr="006B46F1"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BD4" w:rsidRPr="006B46F1" w:rsidRDefault="006F5BD4" w:rsidP="006B46F1">
            <w:pPr>
              <w:pStyle w:val="ListParagraph"/>
              <w:numPr>
                <w:ilvl w:val="0"/>
                <w:numId w:val="3"/>
              </w:numPr>
              <w:spacing w:before="0" w:line="252" w:lineRule="auto"/>
              <w:ind w:left="576" w:hanging="288"/>
              <w:contextualSpacing w:val="0"/>
            </w:pPr>
            <w:r w:rsidRPr="006B46F1">
              <w:t xml:space="preserve">Determine the number of </w:t>
            </w:r>
            <w:r w:rsidRPr="004B473A">
              <w:rPr>
                <w:b/>
              </w:rPr>
              <w:t>complete</w:t>
            </w:r>
            <w:r w:rsidR="00DA2141">
              <w:t xml:space="preserve"> blocks in the stack.</w:t>
            </w:r>
          </w:p>
        </w:tc>
      </w:tr>
      <w:tr w:rsidR="006B46F1" w:rsidRPr="009D0B9C" w:rsidTr="006B46F1"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6B46F1" w:rsidRPr="009D0B9C" w:rsidRDefault="006B46F1" w:rsidP="006B46F1">
            <w:pPr>
              <w:pStyle w:val="ListParagraph"/>
              <w:spacing w:before="0" w:line="252" w:lineRule="auto"/>
              <w:contextualSpacing w:val="0"/>
              <w:jc w:val="center"/>
            </w:pPr>
            <w:r w:rsidRPr="009D0B9C">
              <w:rPr>
                <w:noProof/>
              </w:rPr>
              <w:drawing>
                <wp:inline distT="0" distB="0" distL="0" distR="0">
                  <wp:extent cx="2999230" cy="1303020"/>
                  <wp:effectExtent l="19050" t="0" r="0" b="0"/>
                  <wp:docPr id="3" name="Picture 14" descr="number of bloc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of blocks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72" cy="130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6F1" w:rsidRPr="009D0B9C" w:rsidRDefault="006B46F1" w:rsidP="006C6101">
            <w:pPr>
              <w:pStyle w:val="ListParagraph"/>
              <w:spacing w:before="0" w:after="0" w:line="252" w:lineRule="auto"/>
              <w:ind w:left="0"/>
              <w:contextualSpacing w:val="0"/>
              <w:jc w:val="center"/>
            </w:pPr>
            <w:r w:rsidRPr="006B46F1">
              <w:t xml:space="preserve">There are </w:t>
            </w:r>
            <w:r w:rsidRPr="006B46F1">
              <w:rPr>
                <w:b/>
              </w:rPr>
              <w:t>16 complete blocks</w:t>
            </w:r>
            <w:r w:rsidRPr="006B46F1">
              <w:t xml:space="preserve"> in the stack illustrated </w:t>
            </w:r>
            <w:r>
              <w:t>here</w:t>
            </w:r>
            <w:r w:rsidRPr="006B46F1">
              <w:t>.</w:t>
            </w:r>
          </w:p>
        </w:tc>
      </w:tr>
      <w:tr w:rsidR="00D36764" w:rsidRPr="009D0B9C" w:rsidTr="006B46F1"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764" w:rsidRPr="006B46F1" w:rsidRDefault="00DA2141" w:rsidP="006B46F1">
            <w:pPr>
              <w:pStyle w:val="ListParagraph"/>
              <w:numPr>
                <w:ilvl w:val="0"/>
                <w:numId w:val="3"/>
              </w:numPr>
              <w:spacing w:before="0" w:line="252" w:lineRule="auto"/>
              <w:ind w:left="576" w:hanging="288"/>
              <w:contextualSpacing w:val="0"/>
            </w:pPr>
            <w:r>
              <w:t>If there is a “</w:t>
            </w:r>
            <w:r w:rsidR="00D36764" w:rsidRPr="006B46F1">
              <w:t>partial</w:t>
            </w:r>
            <w:r>
              <w:t>”</w:t>
            </w:r>
            <w:r w:rsidR="00D36764" w:rsidRPr="006B46F1">
              <w:t xml:space="preserve"> block, manually count the number of units in that block.</w:t>
            </w:r>
          </w:p>
          <w:p w:rsidR="00D36764" w:rsidRPr="006B46F1" w:rsidRDefault="00D36764" w:rsidP="006B46F1">
            <w:pPr>
              <w:pStyle w:val="ListParagraph"/>
              <w:numPr>
                <w:ilvl w:val="0"/>
                <w:numId w:val="3"/>
              </w:numPr>
              <w:spacing w:before="0" w:line="252" w:lineRule="auto"/>
              <w:ind w:left="576" w:hanging="288"/>
              <w:contextualSpacing w:val="0"/>
            </w:pPr>
            <w:r w:rsidRPr="006B46F1">
              <w:t>Calculate the total number of units in the stack by multiplying the number of units in one block by the number of blocks; then add the t</w:t>
            </w:r>
            <w:r w:rsidR="00DA2141">
              <w:t>otal number of units in any “</w:t>
            </w:r>
            <w:r w:rsidRPr="006B46F1">
              <w:t>partial</w:t>
            </w:r>
            <w:r w:rsidR="00DA2141">
              <w:t>”</w:t>
            </w:r>
            <w:r w:rsidRPr="006B46F1">
              <w:t xml:space="preserve"> block.  The total number of units in the stack illustrated above is:</w:t>
            </w:r>
          </w:p>
          <w:p w:rsidR="00D36764" w:rsidRPr="009D0B9C" w:rsidRDefault="00D36764" w:rsidP="006B46F1">
            <w:pPr>
              <w:spacing w:before="0" w:line="252" w:lineRule="auto"/>
              <w:ind w:left="576"/>
              <w:rPr>
                <w:b/>
              </w:rPr>
            </w:pPr>
            <w:r w:rsidRPr="006B46F1">
              <w:rPr>
                <w:b/>
              </w:rPr>
              <w:t>(24 units per complete block) X (16 blocks) + (0 units in partial block) = 384 units.</w:t>
            </w:r>
          </w:p>
        </w:tc>
      </w:tr>
    </w:tbl>
    <w:p w:rsidR="00A11511" w:rsidRPr="006B46F1" w:rsidRDefault="008C0B8A" w:rsidP="006B46F1">
      <w:pPr>
        <w:numPr>
          <w:ilvl w:val="0"/>
          <w:numId w:val="1"/>
        </w:numPr>
        <w:spacing w:before="0" w:line="252" w:lineRule="auto"/>
      </w:pPr>
      <w:r w:rsidRPr="006B46F1">
        <w:t>Check</w:t>
      </w:r>
      <w:r w:rsidR="00A11511" w:rsidRPr="006B46F1">
        <w:t xml:space="preserve"> the content</w:t>
      </w:r>
      <w:r w:rsidRPr="006B46F1">
        <w:t>s</w:t>
      </w:r>
      <w:r w:rsidR="00A11511" w:rsidRPr="006B46F1">
        <w:t xml:space="preserve"> of all suspicious units.</w:t>
      </w:r>
    </w:p>
    <w:p w:rsidR="00A11511" w:rsidRPr="006B46F1" w:rsidRDefault="00737A21" w:rsidP="006B46F1">
      <w:pPr>
        <w:numPr>
          <w:ilvl w:val="0"/>
          <w:numId w:val="1"/>
        </w:numPr>
        <w:spacing w:before="0" w:line="252" w:lineRule="auto"/>
      </w:pPr>
      <w:r w:rsidRPr="006B46F1">
        <w:t>V</w:t>
      </w:r>
      <w:r w:rsidR="00A11511" w:rsidRPr="006B46F1">
        <w:t>erify the unit weight for a random sample of bags or containers.</w:t>
      </w:r>
    </w:p>
    <w:p w:rsidR="00D36764" w:rsidRPr="006B46F1" w:rsidRDefault="00A11511" w:rsidP="006B46F1">
      <w:pPr>
        <w:numPr>
          <w:ilvl w:val="0"/>
          <w:numId w:val="1"/>
        </w:numPr>
        <w:spacing w:before="0" w:line="252" w:lineRule="auto"/>
      </w:pPr>
      <w:r w:rsidRPr="006B46F1">
        <w:t xml:space="preserve">Record the </w:t>
      </w:r>
      <w:r w:rsidR="00577630" w:rsidRPr="006B46F1">
        <w:t>number of units</w:t>
      </w:r>
      <w:r w:rsidRPr="006B46F1">
        <w:t xml:space="preserve"> for each stack, as well as the balance stated on each respective stack card, on a </w:t>
      </w:r>
      <w:r w:rsidR="00737A21" w:rsidRPr="006B46F1">
        <w:rPr>
          <w:b/>
        </w:rPr>
        <w:t xml:space="preserve">Warehouse </w:t>
      </w:r>
      <w:r w:rsidRPr="006B46F1">
        <w:rPr>
          <w:b/>
        </w:rPr>
        <w:t xml:space="preserve">Physical </w:t>
      </w:r>
      <w:r w:rsidR="00737A21" w:rsidRPr="006B46F1">
        <w:rPr>
          <w:b/>
        </w:rPr>
        <w:t>Inventory Summary</w:t>
      </w:r>
      <w:r w:rsidRPr="006B46F1">
        <w:rPr>
          <w:b/>
        </w:rPr>
        <w:t xml:space="preserve"> </w:t>
      </w:r>
      <w:r w:rsidR="00737A21" w:rsidRPr="006B46F1">
        <w:t>s</w:t>
      </w:r>
      <w:r w:rsidRPr="006B46F1">
        <w:t xml:space="preserve">heet (see </w:t>
      </w:r>
      <w:r w:rsidR="00737A21" w:rsidRPr="006B46F1">
        <w:t>template</w:t>
      </w:r>
      <w:r w:rsidR="00DA2141">
        <w:t xml:space="preserve"> below). </w:t>
      </w:r>
      <w:r w:rsidR="00D36764" w:rsidRPr="004B473A">
        <w:rPr>
          <w:b/>
        </w:rPr>
        <w:t>Complete separate sheets for each commodity and each shipment number</w:t>
      </w:r>
      <w:r w:rsidR="00D36764" w:rsidRPr="006B46F1">
        <w:t>.</w:t>
      </w:r>
    </w:p>
    <w:p w:rsidR="00A11511" w:rsidRPr="006B46F1" w:rsidRDefault="00A11511" w:rsidP="006B46F1">
      <w:pPr>
        <w:spacing w:before="0" w:line="252" w:lineRule="auto"/>
        <w:ind w:left="360"/>
      </w:pPr>
      <w:r w:rsidRPr="006B46F1">
        <w:t>Also note any observed problems with the physical condition of the stock (e.g.</w:t>
      </w:r>
      <w:r w:rsidR="00DA2141">
        <w:t>,</w:t>
      </w:r>
      <w:r w:rsidRPr="006B46F1">
        <w:t xml:space="preserve"> damaged or leaking containers, signs of infestation</w:t>
      </w:r>
      <w:r w:rsidR="00577630" w:rsidRPr="006B46F1">
        <w:t xml:space="preserve">, </w:t>
      </w:r>
      <w:r w:rsidR="00DA2141">
        <w:t xml:space="preserve">or </w:t>
      </w:r>
      <w:r w:rsidR="00577630" w:rsidRPr="006B46F1">
        <w:t>underweight units</w:t>
      </w:r>
      <w:r w:rsidR="00DA2141">
        <w:t>).</w:t>
      </w:r>
    </w:p>
    <w:p w:rsidR="005710BD" w:rsidRPr="006B46F1" w:rsidRDefault="005710BD" w:rsidP="006B46F1">
      <w:pPr>
        <w:numPr>
          <w:ilvl w:val="0"/>
          <w:numId w:val="1"/>
        </w:numPr>
        <w:spacing w:before="0" w:line="252" w:lineRule="auto"/>
      </w:pPr>
      <w:r w:rsidRPr="006B46F1">
        <w:t xml:space="preserve">Submit all signed and approved </w:t>
      </w:r>
      <w:r w:rsidRPr="006B46F1">
        <w:rPr>
          <w:b/>
        </w:rPr>
        <w:t xml:space="preserve">Warehouse Physical Inventory Summary </w:t>
      </w:r>
      <w:r w:rsidRPr="006B46F1">
        <w:t xml:space="preserve">sheets to the person designated to conduct reconciliations (usually within </w:t>
      </w:r>
      <w:r w:rsidRPr="006B46F1">
        <w:rPr>
          <w:rFonts w:ascii="Calibri" w:eastAsia="Times New Roman" w:hAnsi="Calibri" w:cs="Times New Roman"/>
          <w:color w:val="000000"/>
        </w:rPr>
        <w:t>the unit that prepares the CSR)</w:t>
      </w:r>
      <w:r w:rsidRPr="006B46F1">
        <w:t xml:space="preserve">. </w:t>
      </w:r>
    </w:p>
    <w:p w:rsidR="009D0B9C" w:rsidRPr="006B46F1" w:rsidRDefault="00687C31" w:rsidP="006B46F1">
      <w:pPr>
        <w:numPr>
          <w:ilvl w:val="0"/>
          <w:numId w:val="1"/>
        </w:numPr>
        <w:spacing w:before="0" w:line="252" w:lineRule="auto"/>
      </w:pPr>
      <w:bookmarkStart w:id="0" w:name="_Toc334294742"/>
      <w:bookmarkStart w:id="1" w:name="_Toc335264092"/>
      <w:bookmarkStart w:id="2" w:name="_Toc335264235"/>
      <w:bookmarkStart w:id="3" w:name="_Toc335264825"/>
      <w:bookmarkStart w:id="4" w:name="_Toc335798343"/>
      <w:bookmarkStart w:id="5" w:name="_Toc335804478"/>
      <w:bookmarkStart w:id="6" w:name="_Toc336145850"/>
      <w:bookmarkStart w:id="7" w:name="_Toc422636734"/>
      <w:r w:rsidRPr="006B46F1">
        <w:rPr>
          <w:rFonts w:eastAsia="Times New Roman" w:cs="Times New Roman"/>
        </w:rPr>
        <w:t xml:space="preserve">Ensure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6B46F1">
        <w:t xml:space="preserve">all signed and approved </w:t>
      </w:r>
      <w:r w:rsidRPr="006B46F1">
        <w:rPr>
          <w:b/>
        </w:rPr>
        <w:t xml:space="preserve">Warehouse Physical Inventory Summary </w:t>
      </w:r>
      <w:r w:rsidRPr="006B46F1">
        <w:t xml:space="preserve">sheets </w:t>
      </w:r>
      <w:r w:rsidRPr="006B46F1">
        <w:rPr>
          <w:rFonts w:eastAsia="Times New Roman" w:cs="Times New Roman"/>
        </w:rPr>
        <w:t>(and all supporting documents) are filed and readily accessible for inspection by monitors, auditors</w:t>
      </w:r>
      <w:r w:rsidR="00DA2141">
        <w:rPr>
          <w:rFonts w:eastAsia="Times New Roman" w:cs="Times New Roman"/>
        </w:rPr>
        <w:t>,</w:t>
      </w:r>
      <w:r w:rsidRPr="006B46F1">
        <w:rPr>
          <w:rFonts w:eastAsia="Times New Roman" w:cs="Times New Roman"/>
        </w:rPr>
        <w:t xml:space="preserve"> or other persons carrying out warehouse inspections</w:t>
      </w:r>
      <w:r w:rsidR="00426FB5" w:rsidRPr="006B46F1">
        <w:rPr>
          <w:rFonts w:eastAsia="Times New Roman" w:cs="Times New Roman"/>
        </w:rPr>
        <w:t>.</w:t>
      </w:r>
    </w:p>
    <w:p w:rsidR="009D0B9C" w:rsidRPr="006B46F1" w:rsidRDefault="00D36764" w:rsidP="006B46F1">
      <w:pPr>
        <w:numPr>
          <w:ilvl w:val="0"/>
          <w:numId w:val="1"/>
        </w:numPr>
        <w:spacing w:before="0" w:line="252" w:lineRule="auto"/>
        <w:rPr>
          <w:rFonts w:eastAsia="Times New Roman" w:cs="Times New Roman"/>
        </w:rPr>
      </w:pPr>
      <w:r w:rsidRPr="006B46F1">
        <w:t>Compare the result of the physical count with the related ledgers (as well as CSR</w:t>
      </w:r>
      <w:r w:rsidR="00DA2141">
        <w:t xml:space="preserve">s if appropriate). </w:t>
      </w:r>
      <w:r w:rsidRPr="006B46F1">
        <w:t>Reconcile every difference between the physical count and the ledger balance by examining the source documents (e.g.</w:t>
      </w:r>
      <w:r w:rsidR="00DA2141">
        <w:t>,</w:t>
      </w:r>
      <w:r w:rsidRPr="006B46F1">
        <w:t xml:space="preserve"> waybills</w:t>
      </w:r>
      <w:r w:rsidR="00DA2141">
        <w:t xml:space="preserve"> and l</w:t>
      </w:r>
      <w:r w:rsidRPr="006B46F1">
        <w:t xml:space="preserve">oss </w:t>
      </w:r>
      <w:r w:rsidR="00DA2141">
        <w:t>r</w:t>
      </w:r>
      <w:r w:rsidRPr="006B46F1">
        <w:t>eports) and checking for transcription errors.</w:t>
      </w:r>
      <w:r w:rsidR="009D0B9C" w:rsidRPr="006B46F1">
        <w:t xml:space="preserve"> </w:t>
      </w:r>
    </w:p>
    <w:p w:rsidR="00A11511" w:rsidRPr="006B46F1" w:rsidRDefault="00D36764" w:rsidP="006B46F1">
      <w:pPr>
        <w:numPr>
          <w:ilvl w:val="0"/>
          <w:numId w:val="1"/>
        </w:numPr>
        <w:spacing w:before="0" w:line="252" w:lineRule="auto"/>
        <w:rPr>
          <w:rFonts w:eastAsia="Times New Roman" w:cs="Times New Roman"/>
        </w:rPr>
      </w:pPr>
      <w:r w:rsidRPr="006B46F1">
        <w:t xml:space="preserve">If differences between physical count and ledger balances cannot be reconciled, prepare a </w:t>
      </w:r>
      <w:r w:rsidR="00DA2141">
        <w:t xml:space="preserve">loss report. </w:t>
      </w:r>
      <w:r w:rsidRPr="006B46F1">
        <w:t>An investigation into the</w:t>
      </w:r>
      <w:r w:rsidR="00DA2141">
        <w:t xml:space="preserve"> difference may be undertaken. </w:t>
      </w:r>
      <w:r w:rsidRPr="006B46F1">
        <w:t xml:space="preserve">Only when the </w:t>
      </w:r>
      <w:r w:rsidR="00DA2141">
        <w:t>l</w:t>
      </w:r>
      <w:r w:rsidRPr="006B46F1">
        <w:t xml:space="preserve">oss </w:t>
      </w:r>
      <w:r w:rsidR="00DA2141">
        <w:t>r</w:t>
      </w:r>
      <w:r w:rsidRPr="006B46F1">
        <w:t xml:space="preserve">eport is approved and returned to the warehouse can the difference </w:t>
      </w:r>
      <w:r w:rsidR="00306DD9" w:rsidRPr="006B46F1">
        <w:t>(</w:t>
      </w:r>
      <w:r w:rsidRPr="006B46F1">
        <w:t>loss or excess) be recorded on the stack cards or in the inventory ledgers.</w:t>
      </w:r>
      <w:bookmarkStart w:id="8" w:name="physical_inventory"/>
      <w:bookmarkEnd w:id="8"/>
    </w:p>
    <w:p w:rsidR="000F635C" w:rsidRDefault="000F635C">
      <w:pPr>
        <w:spacing w:before="0" w:after="200" w:line="276" w:lineRule="auto"/>
        <w:rPr>
          <w:rFonts w:ascii="Times New Roman" w:eastAsia="Times New Roman" w:hAnsi="Times New Roman" w:cs="Times New Roman"/>
        </w:rPr>
        <w:sectPr w:rsidR="000F635C" w:rsidSect="006B46F1">
          <w:headerReference w:type="default" r:id="rId12"/>
          <w:footerReference w:type="defaul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018" w:type="dxa"/>
        <w:tblInd w:w="-3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"/>
        <w:gridCol w:w="1440"/>
        <w:gridCol w:w="167"/>
        <w:gridCol w:w="1705"/>
        <w:gridCol w:w="540"/>
        <w:gridCol w:w="1332"/>
        <w:gridCol w:w="918"/>
        <w:gridCol w:w="540"/>
        <w:gridCol w:w="297"/>
        <w:gridCol w:w="117"/>
        <w:gridCol w:w="1926"/>
      </w:tblGrid>
      <w:tr w:rsidR="000F635C" w:rsidRPr="00D250AB" w:rsidTr="009D0B9C">
        <w:trPr>
          <w:gridBefore w:val="1"/>
          <w:wBefore w:w="36" w:type="dxa"/>
          <w:cantSplit/>
          <w:trHeight w:val="576"/>
        </w:trPr>
        <w:tc>
          <w:tcPr>
            <w:tcW w:w="38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35C" w:rsidRPr="00306DD9" w:rsidRDefault="000F635C" w:rsidP="000F635C">
            <w:pPr>
              <w:spacing w:before="0" w:after="0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lastRenderedPageBreak/>
              <w:t>Date of Count:</w:t>
            </w:r>
          </w:p>
        </w:tc>
        <w:tc>
          <w:tcPr>
            <w:tcW w:w="5130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F635C" w:rsidRPr="00306DD9" w:rsidRDefault="009D0B9C" w:rsidP="009D0B9C">
            <w:pPr>
              <w:spacing w:before="0" w:after="0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t>Warehouse Name:</w:t>
            </w:r>
          </w:p>
        </w:tc>
      </w:tr>
      <w:tr w:rsidR="009D0B9C" w:rsidRPr="00D250AB" w:rsidTr="009D0B9C">
        <w:trPr>
          <w:gridBefore w:val="1"/>
          <w:wBefore w:w="36" w:type="dxa"/>
          <w:cantSplit/>
          <w:trHeight w:val="576"/>
        </w:trPr>
        <w:tc>
          <w:tcPr>
            <w:tcW w:w="385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9C" w:rsidRPr="00306DD9" w:rsidRDefault="009D0B9C" w:rsidP="000F635C">
            <w:pPr>
              <w:spacing w:before="0" w:after="0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t>Commodity: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9C" w:rsidRPr="00306DD9" w:rsidRDefault="009D0B9C" w:rsidP="000F635C">
            <w:pPr>
              <w:spacing w:before="0" w:after="0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t>Shipment #: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0B9C" w:rsidRPr="00306DD9" w:rsidRDefault="009D0B9C" w:rsidP="000F635C">
            <w:pPr>
              <w:spacing w:before="0" w:after="0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t>Unit Size:</w:t>
            </w: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306DD9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t>Stack Number</w:t>
            </w:r>
          </w:p>
        </w:tc>
        <w:tc>
          <w:tcPr>
            <w:tcW w:w="187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306DD9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t>Stack Card Quantity</w:t>
            </w:r>
          </w:p>
        </w:tc>
        <w:tc>
          <w:tcPr>
            <w:tcW w:w="187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306DD9" w:rsidRDefault="0088459D" w:rsidP="0057763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t xml:space="preserve">Physical </w:t>
            </w:r>
            <w:r w:rsidR="00577630" w:rsidRPr="00306DD9">
              <w:rPr>
                <w:rFonts w:ascii="Calibri" w:eastAsia="Times New Roman" w:hAnsi="Calibri" w:cs="Arial"/>
                <w:b/>
              </w:rPr>
              <w:t>Inventory</w:t>
            </w:r>
            <w:r w:rsidRPr="00306DD9">
              <w:rPr>
                <w:rFonts w:ascii="Calibri" w:eastAsia="Times New Roman" w:hAnsi="Calibri" w:cs="Arial"/>
                <w:b/>
              </w:rPr>
              <w:t xml:space="preserve"> Quantity</w:t>
            </w:r>
          </w:p>
        </w:tc>
        <w:tc>
          <w:tcPr>
            <w:tcW w:w="1872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306DD9" w:rsidRDefault="0088459D" w:rsidP="00577630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eastAsia="Times New Roman" w:cs="Arial"/>
                <w:b/>
              </w:rPr>
              <w:t xml:space="preserve">Difference Between Stack Card and Physical </w:t>
            </w:r>
            <w:r w:rsidR="00577630" w:rsidRPr="00306DD9">
              <w:rPr>
                <w:rFonts w:eastAsia="Times New Roman" w:cs="Arial"/>
                <w:b/>
              </w:rPr>
              <w:t>Inventory</w:t>
            </w:r>
          </w:p>
        </w:tc>
        <w:tc>
          <w:tcPr>
            <w:tcW w:w="19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306DD9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</w:rPr>
            </w:pPr>
            <w:r w:rsidRPr="00306DD9">
              <w:rPr>
                <w:rFonts w:ascii="Calibri" w:eastAsia="Times New Roman" w:hAnsi="Calibri" w:cs="Arial"/>
                <w:b/>
              </w:rPr>
              <w:t>Physical Condition</w:t>
            </w: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23661A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1A" w:rsidRDefault="0023661A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1A" w:rsidRPr="00D250AB" w:rsidRDefault="0023661A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1A" w:rsidRPr="00D250AB" w:rsidRDefault="0023661A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1A" w:rsidRPr="00D250AB" w:rsidRDefault="0023661A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661A" w:rsidRPr="00D250AB" w:rsidRDefault="0023661A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23661A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1A" w:rsidRDefault="0023661A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1A" w:rsidRPr="00D250AB" w:rsidRDefault="0023661A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1A" w:rsidRPr="00D250AB" w:rsidRDefault="0023661A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61A" w:rsidRPr="00D250AB" w:rsidRDefault="0023661A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661A" w:rsidRPr="00D250AB" w:rsidRDefault="0023661A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459D" w:rsidRDefault="0088459D" w:rsidP="00D250AB">
            <w:pPr>
              <w:spacing w:before="0" w:after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88459D" w:rsidRPr="00D250AB" w:rsidTr="009D0B9C">
        <w:trPr>
          <w:gridBefore w:val="1"/>
          <w:wBefore w:w="36" w:type="dxa"/>
          <w:cantSplit/>
          <w:trHeight w:val="576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459D" w:rsidRDefault="0088459D" w:rsidP="0088459D">
            <w:pPr>
              <w:spacing w:before="0" w:after="0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87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8459D" w:rsidRPr="00D250AB" w:rsidRDefault="0088459D" w:rsidP="00D250AB">
            <w:pPr>
              <w:spacing w:before="0" w:after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9D0B9C" w:rsidRPr="0088459D" w:rsidTr="009D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B9C" w:rsidRPr="0088459D" w:rsidRDefault="009D0B9C" w:rsidP="00DA2141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 xml:space="preserve">Prepared </w:t>
            </w:r>
            <w:r w:rsidR="00DA2141">
              <w:rPr>
                <w:rFonts w:eastAsia="Times New Roman" w:cs="Times New Roman"/>
                <w:b/>
                <w:sz w:val="18"/>
                <w:szCs w:val="18"/>
              </w:rPr>
              <w:t>b</w:t>
            </w: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>y: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8459D" w:rsidRPr="0088459D" w:rsidTr="009D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59D" w:rsidRPr="0088459D" w:rsidRDefault="0088459D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>Signature: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8459D" w:rsidRPr="0088459D" w:rsidRDefault="0088459D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59D" w:rsidRPr="0088459D" w:rsidRDefault="0088459D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459D" w:rsidRPr="0088459D" w:rsidRDefault="0088459D" w:rsidP="0088459D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88459D" w:rsidRPr="0088459D" w:rsidTr="009D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59D" w:rsidRPr="0088459D" w:rsidRDefault="0088459D" w:rsidP="0088459D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  <w:tc>
          <w:tcPr>
            <w:tcW w:w="449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459D" w:rsidRPr="0088459D" w:rsidRDefault="0088459D" w:rsidP="0088459D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59D" w:rsidRPr="0088459D" w:rsidRDefault="0088459D" w:rsidP="0088459D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59D" w:rsidRPr="0088459D" w:rsidRDefault="0088459D" w:rsidP="0088459D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9D0B9C" w:rsidRPr="0088459D" w:rsidTr="009D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B9C" w:rsidRPr="0088459D" w:rsidRDefault="009D0B9C" w:rsidP="00DA2141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Verified </w:t>
            </w:r>
            <w:r w:rsidR="00DA2141">
              <w:rPr>
                <w:rFonts w:eastAsia="Times New Roman" w:cs="Times New Roman"/>
                <w:b/>
                <w:sz w:val="18"/>
                <w:szCs w:val="18"/>
              </w:rPr>
              <w:t>b</w:t>
            </w:r>
            <w:bookmarkStart w:id="9" w:name="_GoBack"/>
            <w:bookmarkEnd w:id="9"/>
            <w:r>
              <w:rPr>
                <w:rFonts w:eastAsia="Times New Roman" w:cs="Times New Roman"/>
                <w:b/>
                <w:sz w:val="18"/>
                <w:szCs w:val="18"/>
              </w:rPr>
              <w:t>y</w:t>
            </w: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8459D" w:rsidRPr="0088459D" w:rsidTr="009D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59D" w:rsidRPr="0088459D" w:rsidRDefault="0088459D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>Signature:</w:t>
            </w:r>
          </w:p>
        </w:tc>
        <w:tc>
          <w:tcPr>
            <w:tcW w:w="44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8459D" w:rsidRPr="0088459D" w:rsidRDefault="0088459D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59D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459D" w:rsidRPr="0088459D" w:rsidRDefault="0088459D" w:rsidP="0088459D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9D0B9C" w:rsidRPr="0088459D" w:rsidTr="009D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B9C" w:rsidRPr="0088459D" w:rsidRDefault="009D0B9C" w:rsidP="009D0B9C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WH Manager:</w:t>
            </w:r>
          </w:p>
        </w:tc>
        <w:tc>
          <w:tcPr>
            <w:tcW w:w="44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0B9C" w:rsidRPr="0088459D" w:rsidRDefault="009D0B9C" w:rsidP="0088459D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  <w:tr w:rsidR="009D0B9C" w:rsidRPr="0088459D" w:rsidTr="009D0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>Signature:</w:t>
            </w:r>
          </w:p>
        </w:tc>
        <w:tc>
          <w:tcPr>
            <w:tcW w:w="44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B9C" w:rsidRPr="0088459D" w:rsidRDefault="009D0B9C" w:rsidP="0088459D">
            <w:pPr>
              <w:spacing w:before="0" w:after="60"/>
              <w:rPr>
                <w:rFonts w:eastAsia="Times New Roman" w:cs="Times New Roman"/>
                <w:b/>
                <w:sz w:val="18"/>
                <w:szCs w:val="18"/>
              </w:rPr>
            </w:pPr>
            <w:r w:rsidRPr="0088459D">
              <w:rPr>
                <w:rFonts w:eastAsia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0B9C" w:rsidRPr="0088459D" w:rsidRDefault="009D0B9C" w:rsidP="0088459D">
            <w:pPr>
              <w:spacing w:before="0" w:after="0"/>
              <w:rPr>
                <w:rFonts w:eastAsia="Times New Roman" w:cs="Times New Roman"/>
                <w:b/>
                <w:sz w:val="16"/>
                <w:szCs w:val="24"/>
              </w:rPr>
            </w:pPr>
          </w:p>
        </w:tc>
      </w:tr>
    </w:tbl>
    <w:p w:rsidR="0088459D" w:rsidRPr="000F635C" w:rsidRDefault="0088459D" w:rsidP="00370011">
      <w:pPr>
        <w:spacing w:before="0" w:after="0"/>
        <w:outlineLvl w:val="2"/>
        <w:rPr>
          <w:rFonts w:eastAsia="Times New Roman" w:cs="Arial"/>
          <w:b/>
          <w:sz w:val="18"/>
          <w:szCs w:val="18"/>
        </w:rPr>
      </w:pPr>
    </w:p>
    <w:sectPr w:rsidR="0088459D" w:rsidRPr="000F635C" w:rsidSect="00455D35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BF" w:rsidRDefault="00DB42BF" w:rsidP="00457297">
      <w:pPr>
        <w:spacing w:before="0" w:after="0"/>
      </w:pPr>
      <w:r>
        <w:separator/>
      </w:r>
    </w:p>
  </w:endnote>
  <w:endnote w:type="continuationSeparator" w:id="0">
    <w:p w:rsidR="00DB42BF" w:rsidRDefault="00DB42BF" w:rsidP="004572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308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E464D" w:rsidRPr="0037576B" w:rsidRDefault="007E464D" w:rsidP="00457297">
            <w:pPr>
              <w:pStyle w:val="Footer"/>
              <w:jc w:val="center"/>
            </w:pPr>
            <w:r w:rsidRPr="0037576B">
              <w:t xml:space="preserve">Page </w:t>
            </w:r>
            <w:r w:rsidR="00DE1274" w:rsidRPr="0037576B">
              <w:fldChar w:fldCharType="begin"/>
            </w:r>
            <w:r w:rsidRPr="0037576B">
              <w:instrText xml:space="preserve"> PAGE </w:instrText>
            </w:r>
            <w:r w:rsidR="00DE1274" w:rsidRPr="0037576B">
              <w:fldChar w:fldCharType="separate"/>
            </w:r>
            <w:r w:rsidR="00DA2141">
              <w:rPr>
                <w:noProof/>
              </w:rPr>
              <w:t>1</w:t>
            </w:r>
            <w:r w:rsidR="00DE1274" w:rsidRPr="0037576B">
              <w:fldChar w:fldCharType="end"/>
            </w:r>
            <w:r w:rsidRPr="0037576B">
              <w:t xml:space="preserve"> of </w:t>
            </w:r>
            <w:r w:rsidR="00DE1274" w:rsidRPr="0037576B">
              <w:fldChar w:fldCharType="begin"/>
            </w:r>
            <w:r w:rsidRPr="0037576B">
              <w:instrText xml:space="preserve"> NUMPAGES  </w:instrText>
            </w:r>
            <w:r w:rsidR="00DE1274" w:rsidRPr="0037576B">
              <w:fldChar w:fldCharType="separate"/>
            </w:r>
            <w:r w:rsidR="00DA2141">
              <w:rPr>
                <w:noProof/>
              </w:rPr>
              <w:t>3</w:t>
            </w:r>
            <w:r w:rsidR="00DE1274" w:rsidRPr="0037576B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8" w:rsidRDefault="00B83AA8" w:rsidP="004572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BF" w:rsidRDefault="00DB42BF" w:rsidP="00457297">
      <w:pPr>
        <w:spacing w:before="0" w:after="0"/>
      </w:pPr>
      <w:r>
        <w:separator/>
      </w:r>
    </w:p>
  </w:footnote>
  <w:footnote w:type="continuationSeparator" w:id="0">
    <w:p w:rsidR="00DB42BF" w:rsidRDefault="00DB42BF" w:rsidP="004572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D" w:rsidRDefault="007E464D" w:rsidP="00457297">
    <w:pPr>
      <w:pStyle w:val="Header"/>
      <w:jc w:val="center"/>
      <w:rPr>
        <w:rFonts w:ascii="Calibri" w:hAnsi="Calibri" w:cs="Garamond-Bold"/>
        <w:b/>
        <w:bCs/>
        <w:color w:val="237990"/>
        <w:sz w:val="28"/>
        <w:szCs w:val="28"/>
      </w:rPr>
    </w:pPr>
    <w:r w:rsidRPr="0037576B">
      <w:rPr>
        <w:b/>
        <w:bCs/>
        <w:color w:val="237990"/>
        <w:sz w:val="28"/>
        <w:szCs w:val="28"/>
      </w:rPr>
      <w:t xml:space="preserve">Warehouse Physical Inventory </w:t>
    </w:r>
    <w:r w:rsidR="00D76810" w:rsidRPr="0037576B">
      <w:rPr>
        <w:rFonts w:ascii="Calibri" w:hAnsi="Calibri" w:cs="Garamond-Bold"/>
        <w:b/>
        <w:bCs/>
        <w:color w:val="237990"/>
        <w:sz w:val="28"/>
        <w:szCs w:val="28"/>
      </w:rPr>
      <w:t>GUIDELINES</w:t>
    </w:r>
  </w:p>
  <w:p w:rsidR="009D0B9C" w:rsidRPr="00457297" w:rsidRDefault="009D0B9C" w:rsidP="00457297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4D" w:rsidRPr="00687C31" w:rsidRDefault="00687C31" w:rsidP="00687C31">
    <w:pPr>
      <w:pStyle w:val="Header"/>
      <w:jc w:val="center"/>
      <w:rPr>
        <w:b/>
        <w:sz w:val="28"/>
        <w:szCs w:val="28"/>
      </w:rPr>
    </w:pPr>
    <w:r w:rsidRPr="00457297">
      <w:rPr>
        <w:b/>
        <w:bCs/>
        <w:sz w:val="28"/>
        <w:szCs w:val="28"/>
      </w:rPr>
      <w:t xml:space="preserve">Warehouse Physical Inventory </w:t>
    </w:r>
    <w:r>
      <w:rPr>
        <w:b/>
        <w:bCs/>
        <w:sz w:val="28"/>
        <w:szCs w:val="28"/>
      </w:rPr>
      <w:t>Summary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C2E"/>
    <w:multiLevelType w:val="hybridMultilevel"/>
    <w:tmpl w:val="36A6CB7A"/>
    <w:lvl w:ilvl="0" w:tplc="B412B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A456F"/>
    <w:multiLevelType w:val="hybridMultilevel"/>
    <w:tmpl w:val="0C7437C6"/>
    <w:lvl w:ilvl="0" w:tplc="0102139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A96"/>
    <w:multiLevelType w:val="hybridMultilevel"/>
    <w:tmpl w:val="A59E51BE"/>
    <w:lvl w:ilvl="0" w:tplc="3D8CA3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7050"/>
    <w:multiLevelType w:val="hybridMultilevel"/>
    <w:tmpl w:val="D2E0543E"/>
    <w:lvl w:ilvl="0" w:tplc="6302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47BD4"/>
    <w:multiLevelType w:val="hybridMultilevel"/>
    <w:tmpl w:val="AD400D50"/>
    <w:lvl w:ilvl="0" w:tplc="330A95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245"/>
    <w:rsid w:val="00005209"/>
    <w:rsid w:val="00026341"/>
    <w:rsid w:val="0002777E"/>
    <w:rsid w:val="0008352F"/>
    <w:rsid w:val="000B75D5"/>
    <w:rsid w:val="000D2717"/>
    <w:rsid w:val="000F635C"/>
    <w:rsid w:val="00155F9F"/>
    <w:rsid w:val="00165D64"/>
    <w:rsid w:val="001668B7"/>
    <w:rsid w:val="00166CDB"/>
    <w:rsid w:val="001D61E3"/>
    <w:rsid w:val="002243F3"/>
    <w:rsid w:val="002305AD"/>
    <w:rsid w:val="00230F56"/>
    <w:rsid w:val="0023661A"/>
    <w:rsid w:val="00295476"/>
    <w:rsid w:val="002E0D1A"/>
    <w:rsid w:val="003048C6"/>
    <w:rsid w:val="00306DD9"/>
    <w:rsid w:val="00341B54"/>
    <w:rsid w:val="00345C54"/>
    <w:rsid w:val="00370011"/>
    <w:rsid w:val="00371343"/>
    <w:rsid w:val="00371AAA"/>
    <w:rsid w:val="0037576B"/>
    <w:rsid w:val="003C1245"/>
    <w:rsid w:val="00404A18"/>
    <w:rsid w:val="00407BBC"/>
    <w:rsid w:val="0041319C"/>
    <w:rsid w:val="00426FB5"/>
    <w:rsid w:val="00455D35"/>
    <w:rsid w:val="00457297"/>
    <w:rsid w:val="00464FBC"/>
    <w:rsid w:val="00476ED7"/>
    <w:rsid w:val="004B473A"/>
    <w:rsid w:val="004E103B"/>
    <w:rsid w:val="00524FB7"/>
    <w:rsid w:val="005710BD"/>
    <w:rsid w:val="00577630"/>
    <w:rsid w:val="00580EDE"/>
    <w:rsid w:val="005B721B"/>
    <w:rsid w:val="00671F7C"/>
    <w:rsid w:val="00687C31"/>
    <w:rsid w:val="0069176B"/>
    <w:rsid w:val="006A1FE1"/>
    <w:rsid w:val="006B2702"/>
    <w:rsid w:val="006B46F1"/>
    <w:rsid w:val="006C6101"/>
    <w:rsid w:val="006F5BD4"/>
    <w:rsid w:val="00737A21"/>
    <w:rsid w:val="007B0F86"/>
    <w:rsid w:val="007D01B9"/>
    <w:rsid w:val="007E464D"/>
    <w:rsid w:val="007F5751"/>
    <w:rsid w:val="0088459D"/>
    <w:rsid w:val="008C0B8A"/>
    <w:rsid w:val="00926D01"/>
    <w:rsid w:val="009543FC"/>
    <w:rsid w:val="00954B5C"/>
    <w:rsid w:val="009C2BF0"/>
    <w:rsid w:val="009C2D1A"/>
    <w:rsid w:val="009D0B9C"/>
    <w:rsid w:val="00A11511"/>
    <w:rsid w:val="00A15086"/>
    <w:rsid w:val="00A1528D"/>
    <w:rsid w:val="00A1592A"/>
    <w:rsid w:val="00A16626"/>
    <w:rsid w:val="00A61817"/>
    <w:rsid w:val="00A74C1F"/>
    <w:rsid w:val="00AA7B5E"/>
    <w:rsid w:val="00AD72A7"/>
    <w:rsid w:val="00AF1ED5"/>
    <w:rsid w:val="00B35040"/>
    <w:rsid w:val="00B61CC9"/>
    <w:rsid w:val="00B83AA8"/>
    <w:rsid w:val="00C2586A"/>
    <w:rsid w:val="00C35784"/>
    <w:rsid w:val="00C911A4"/>
    <w:rsid w:val="00CA502F"/>
    <w:rsid w:val="00CC2AA2"/>
    <w:rsid w:val="00CC38EB"/>
    <w:rsid w:val="00CC693D"/>
    <w:rsid w:val="00D13FF5"/>
    <w:rsid w:val="00D20C31"/>
    <w:rsid w:val="00D250AB"/>
    <w:rsid w:val="00D36764"/>
    <w:rsid w:val="00D76810"/>
    <w:rsid w:val="00DA2141"/>
    <w:rsid w:val="00DB42BF"/>
    <w:rsid w:val="00DE1274"/>
    <w:rsid w:val="00DE71E9"/>
    <w:rsid w:val="00F051C4"/>
    <w:rsid w:val="00F11DED"/>
    <w:rsid w:val="00F22E70"/>
    <w:rsid w:val="00F44C2F"/>
    <w:rsid w:val="00F677DD"/>
    <w:rsid w:val="00FA65AF"/>
    <w:rsid w:val="00FB34CE"/>
    <w:rsid w:val="00FF11A9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EA1D"/>
  <w15:docId w15:val="{A61A8429-B3D2-4DB8-841D-E0558BEE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72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7297"/>
  </w:style>
  <w:style w:type="paragraph" w:styleId="Footer">
    <w:name w:val="footer"/>
    <w:basedOn w:val="Normal"/>
    <w:link w:val="FooterChar"/>
    <w:uiPriority w:val="99"/>
    <w:unhideWhenUsed/>
    <w:rsid w:val="004572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7297"/>
  </w:style>
  <w:style w:type="paragraph" w:styleId="BalloonText">
    <w:name w:val="Balloon Text"/>
    <w:basedOn w:val="Normal"/>
    <w:link w:val="BalloonTextChar"/>
    <w:uiPriority w:val="99"/>
    <w:semiHidden/>
    <w:unhideWhenUsed/>
    <w:rsid w:val="004572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511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A11511"/>
  </w:style>
  <w:style w:type="table" w:styleId="TableGrid">
    <w:name w:val="Table Grid"/>
    <w:basedOn w:val="TableNormal"/>
    <w:uiPriority w:val="59"/>
    <w:rsid w:val="00A1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2015-11-05T19:31:00Z</cp:lastPrinted>
  <dcterms:created xsi:type="dcterms:W3CDTF">2017-03-16T11:32:00Z</dcterms:created>
  <dcterms:modified xsi:type="dcterms:W3CDTF">2017-03-16T11:32:00Z</dcterms:modified>
</cp:coreProperties>
</file>