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78"/>
        <w:gridCol w:w="2880"/>
        <w:gridCol w:w="9630"/>
        <w:gridCol w:w="17"/>
      </w:tblGrid>
      <w:tr w:rsidR="00ED629D" w:rsidRPr="001E05F1" w:rsidTr="001E05F1">
        <w:trPr>
          <w:trHeight w:val="576"/>
          <w:tblHeader/>
        </w:trPr>
        <w:tc>
          <w:tcPr>
            <w:tcW w:w="1278" w:type="dxa"/>
            <w:tcBorders>
              <w:top w:val="nil"/>
              <w:left w:val="nil"/>
              <w:bottom w:val="single" w:sz="8" w:space="0" w:color="FFFFFF"/>
              <w:right w:val="single" w:sz="8" w:space="0" w:color="FFFFFF"/>
            </w:tcBorders>
            <w:shd w:val="clear" w:color="auto" w:fill="7C8029"/>
            <w:vAlign w:val="center"/>
          </w:tcPr>
          <w:p w:rsidR="00ED629D" w:rsidRPr="001E05F1" w:rsidRDefault="00ED629D" w:rsidP="00F83751">
            <w:pPr>
              <w:jc w:val="center"/>
              <w:rPr>
                <w:rFonts w:ascii="Calibri" w:hAnsi="Calibri"/>
                <w:b/>
                <w:color w:val="FFFFFF"/>
                <w:sz w:val="22"/>
                <w:szCs w:val="22"/>
              </w:rPr>
            </w:pPr>
            <w:bookmarkStart w:id="0" w:name="_GoBack" w:colFirst="2" w:colLast="2"/>
            <w:r w:rsidRPr="001E05F1">
              <w:rPr>
                <w:rFonts w:ascii="Calibri" w:hAnsi="Calibri"/>
                <w:b/>
                <w:color w:val="FFFFFF"/>
                <w:sz w:val="22"/>
                <w:szCs w:val="22"/>
              </w:rPr>
              <w:t>Principle #</w:t>
            </w:r>
          </w:p>
        </w:tc>
        <w:tc>
          <w:tcPr>
            <w:tcW w:w="2880" w:type="dxa"/>
            <w:tcBorders>
              <w:top w:val="nil"/>
              <w:left w:val="single" w:sz="8" w:space="0" w:color="FFFFFF"/>
              <w:bottom w:val="single" w:sz="8" w:space="0" w:color="FFFFFF"/>
              <w:right w:val="single" w:sz="8" w:space="0" w:color="FFFFFF"/>
            </w:tcBorders>
            <w:shd w:val="clear" w:color="auto" w:fill="7C8029"/>
            <w:vAlign w:val="center"/>
          </w:tcPr>
          <w:p w:rsidR="00ED629D" w:rsidRPr="001E05F1" w:rsidRDefault="00ED629D" w:rsidP="00F83751">
            <w:pPr>
              <w:jc w:val="center"/>
              <w:rPr>
                <w:rFonts w:ascii="Calibri" w:hAnsi="Calibri"/>
                <w:b/>
                <w:color w:val="FFFFFF"/>
                <w:sz w:val="22"/>
                <w:szCs w:val="22"/>
              </w:rPr>
            </w:pPr>
            <w:r w:rsidRPr="001E05F1">
              <w:rPr>
                <w:rFonts w:ascii="Calibri" w:hAnsi="Calibri"/>
                <w:b/>
                <w:color w:val="FFFFFF"/>
                <w:sz w:val="22"/>
                <w:szCs w:val="22"/>
              </w:rPr>
              <w:t>Category</w:t>
            </w:r>
          </w:p>
        </w:tc>
        <w:tc>
          <w:tcPr>
            <w:tcW w:w="9647" w:type="dxa"/>
            <w:gridSpan w:val="2"/>
            <w:tcBorders>
              <w:top w:val="nil"/>
              <w:left w:val="single" w:sz="8" w:space="0" w:color="FFFFFF"/>
              <w:bottom w:val="single" w:sz="8" w:space="0" w:color="FFFFFF"/>
              <w:right w:val="nil"/>
            </w:tcBorders>
            <w:shd w:val="clear" w:color="auto" w:fill="7C8029"/>
            <w:vAlign w:val="center"/>
          </w:tcPr>
          <w:p w:rsidR="00ED629D" w:rsidRPr="001E05F1" w:rsidRDefault="00ED629D" w:rsidP="00F83751">
            <w:pPr>
              <w:jc w:val="center"/>
              <w:rPr>
                <w:rFonts w:ascii="Calibri" w:hAnsi="Calibri"/>
                <w:b/>
                <w:color w:val="FFFFFF"/>
                <w:sz w:val="22"/>
                <w:szCs w:val="22"/>
              </w:rPr>
            </w:pPr>
            <w:r w:rsidRPr="001E05F1">
              <w:rPr>
                <w:rFonts w:ascii="Calibri" w:hAnsi="Calibri"/>
                <w:b/>
                <w:color w:val="FFFFFF"/>
                <w:sz w:val="22"/>
                <w:szCs w:val="22"/>
              </w:rPr>
              <w:t>Description</w:t>
            </w:r>
            <w:r w:rsidR="000965D5" w:rsidRPr="001E05F1">
              <w:rPr>
                <w:rFonts w:ascii="Calibri" w:hAnsi="Calibri"/>
                <w:b/>
                <w:color w:val="FFFFFF"/>
                <w:sz w:val="22"/>
                <w:szCs w:val="22"/>
              </w:rPr>
              <w:t xml:space="preserve"> of Principle</w:t>
            </w:r>
          </w:p>
        </w:tc>
      </w:tr>
      <w:tr w:rsidR="00ED629D" w:rsidTr="001E05F1">
        <w:trPr>
          <w:gridAfter w:val="1"/>
          <w:wAfter w:w="17" w:type="dxa"/>
          <w:trHeight w:val="360"/>
        </w:trPr>
        <w:tc>
          <w:tcPr>
            <w:tcW w:w="13788" w:type="dxa"/>
            <w:gridSpan w:val="3"/>
            <w:tcBorders>
              <w:top w:val="nil"/>
              <w:left w:val="nil"/>
              <w:bottom w:val="single" w:sz="8" w:space="0" w:color="7C8029"/>
              <w:right w:val="nil"/>
            </w:tcBorders>
            <w:shd w:val="clear" w:color="auto" w:fill="BCC589"/>
            <w:vAlign w:val="center"/>
          </w:tcPr>
          <w:p w:rsidR="00ED629D" w:rsidRPr="001E05F1" w:rsidRDefault="00ED629D" w:rsidP="002A3081">
            <w:pPr>
              <w:rPr>
                <w:rFonts w:ascii="Calibri" w:hAnsi="Calibri"/>
                <w:b/>
                <w:sz w:val="22"/>
                <w:szCs w:val="22"/>
              </w:rPr>
            </w:pPr>
            <w:r w:rsidRPr="001E05F1">
              <w:rPr>
                <w:rFonts w:ascii="Calibri" w:hAnsi="Calibri"/>
                <w:b/>
                <w:sz w:val="22"/>
                <w:szCs w:val="22"/>
              </w:rPr>
              <w:t>CHAPTER I</w:t>
            </w:r>
            <w:r w:rsidR="002A3081">
              <w:rPr>
                <w:rFonts w:ascii="Calibri" w:hAnsi="Calibri"/>
                <w:b/>
                <w:sz w:val="22"/>
                <w:szCs w:val="22"/>
              </w:rPr>
              <w:t>:</w:t>
            </w:r>
            <w:r w:rsidRPr="001E05F1">
              <w:rPr>
                <w:rFonts w:ascii="Calibri" w:hAnsi="Calibri"/>
                <w:b/>
                <w:sz w:val="22"/>
                <w:szCs w:val="22"/>
              </w:rPr>
              <w:t xml:space="preserve"> ORGANIZATION</w:t>
            </w:r>
          </w:p>
        </w:tc>
      </w:tr>
      <w:tr w:rsidR="00ED629D" w:rsidTr="001E05F1">
        <w:tc>
          <w:tcPr>
            <w:tcW w:w="1278" w:type="dxa"/>
            <w:tcBorders>
              <w:top w:val="nil"/>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I-1</w:t>
            </w:r>
          </w:p>
        </w:tc>
        <w:tc>
          <w:tcPr>
            <w:tcW w:w="2880" w:type="dxa"/>
            <w:tcBorders>
              <w:top w:val="nil"/>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Food Aid Policy</w:t>
            </w:r>
          </w:p>
        </w:tc>
        <w:tc>
          <w:tcPr>
            <w:tcW w:w="9647" w:type="dxa"/>
            <w:gridSpan w:val="2"/>
            <w:tcBorders>
              <w:top w:val="nil"/>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management organizations should develop and publish</w:t>
            </w:r>
            <w:r w:rsidR="002A3081">
              <w:rPr>
                <w:rFonts w:ascii="Calibri" w:hAnsi="Calibri"/>
                <w:sz w:val="20"/>
                <w:szCs w:val="20"/>
              </w:rPr>
              <w:t>,</w:t>
            </w:r>
            <w:r w:rsidRPr="001E05F1">
              <w:rPr>
                <w:rFonts w:ascii="Calibri" w:hAnsi="Calibri"/>
                <w:sz w:val="20"/>
                <w:szCs w:val="20"/>
              </w:rPr>
              <w:t xml:space="preserve"> </w:t>
            </w:r>
            <w:r w:rsidR="002A3081">
              <w:rPr>
                <w:rFonts w:ascii="Calibri" w:hAnsi="Calibri"/>
                <w:sz w:val="20"/>
                <w:szCs w:val="20"/>
              </w:rPr>
              <w:t xml:space="preserve">for </w:t>
            </w:r>
            <w:r w:rsidRPr="001E05F1">
              <w:rPr>
                <w:rFonts w:ascii="Calibri" w:hAnsi="Calibri"/>
                <w:sz w:val="20"/>
                <w:szCs w:val="20"/>
              </w:rPr>
              <w:t>their own use and that of the public and the donor organizations</w:t>
            </w:r>
            <w:r w:rsidR="002A3081">
              <w:rPr>
                <w:rFonts w:ascii="Calibri" w:hAnsi="Calibri"/>
                <w:sz w:val="20"/>
                <w:szCs w:val="20"/>
              </w:rPr>
              <w:t>,</w:t>
            </w:r>
            <w:r w:rsidRPr="001E05F1">
              <w:rPr>
                <w:rFonts w:ascii="Calibri" w:hAnsi="Calibri"/>
                <w:sz w:val="20"/>
                <w:szCs w:val="20"/>
              </w:rPr>
              <w:t xml:space="preserve"> clear statements of the organization’s purpose and operating principles guiding the use of food aid.</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Commodity Responsibilities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 xml:space="preserve">Commodity management organizations should establish systems that will enable them to exercise accountability for commodities until the commodities are issued </w:t>
            </w:r>
            <w:r w:rsidR="002A3081" w:rsidRPr="001E05F1">
              <w:rPr>
                <w:rFonts w:ascii="Calibri" w:hAnsi="Calibri"/>
                <w:sz w:val="20"/>
                <w:szCs w:val="20"/>
              </w:rPr>
              <w:t>to target recipients</w:t>
            </w:r>
            <w:r w:rsidR="002A3081" w:rsidRPr="001E05F1">
              <w:rPr>
                <w:rFonts w:ascii="Calibri" w:hAnsi="Calibri"/>
                <w:sz w:val="20"/>
                <w:szCs w:val="20"/>
              </w:rPr>
              <w:t xml:space="preserve"> </w:t>
            </w:r>
            <w:r w:rsidRPr="001E05F1">
              <w:rPr>
                <w:rFonts w:ascii="Calibri" w:hAnsi="Calibri"/>
                <w:sz w:val="20"/>
                <w:szCs w:val="20"/>
              </w:rPr>
              <w:t>for consumption, even if disbursement and logistical control over the commodities are exercised by sub-recipient commodity management organizations.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Organizational Arrangements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Commodity management organizations should establish comprehensive, up-to-date organizational systems for commodity matters that define staff responsibilities with clearly delineated</w:t>
            </w:r>
            <w:r w:rsidR="002A3081">
              <w:rPr>
                <w:rFonts w:ascii="Calibri" w:hAnsi="Calibri"/>
                <w:sz w:val="20"/>
                <w:szCs w:val="20"/>
              </w:rPr>
              <w:t xml:space="preserve"> </w:t>
            </w:r>
            <w:r w:rsidR="002A3081" w:rsidRPr="001E05F1">
              <w:rPr>
                <w:rFonts w:ascii="Calibri" w:hAnsi="Calibri"/>
                <w:sz w:val="20"/>
                <w:szCs w:val="20"/>
              </w:rPr>
              <w:t>lines of authority</w:t>
            </w:r>
            <w:r w:rsidRPr="001E05F1">
              <w:rPr>
                <w:rFonts w:ascii="Calibri" w:hAnsi="Calibri"/>
                <w:sz w:val="20"/>
                <w:szCs w:val="20"/>
              </w:rPr>
              <w:t>.</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Functional Responsibility Statements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Commodity management organizations should provide staff involved in commodity accountability with clear description</w:t>
            </w:r>
            <w:r w:rsidR="002A3081">
              <w:rPr>
                <w:rFonts w:ascii="Calibri" w:hAnsi="Calibri"/>
                <w:sz w:val="20"/>
                <w:szCs w:val="20"/>
              </w:rPr>
              <w:t>s</w:t>
            </w:r>
            <w:r w:rsidRPr="001E05F1">
              <w:rPr>
                <w:rFonts w:ascii="Calibri" w:hAnsi="Calibri"/>
                <w:sz w:val="20"/>
                <w:szCs w:val="20"/>
              </w:rPr>
              <w:t xml:space="preserve"> of their individual job requirements and responsibilities.</w:t>
            </w:r>
          </w:p>
        </w:tc>
      </w:tr>
      <w:tr w:rsidR="00ED629D" w:rsidTr="001E05F1">
        <w:tc>
          <w:tcPr>
            <w:tcW w:w="1278" w:type="dxa"/>
            <w:tcBorders>
              <w:top w:val="single" w:sz="8" w:space="0" w:color="7C8029"/>
              <w:left w:val="nil"/>
              <w:bottom w:val="nil"/>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I-5</w:t>
            </w:r>
          </w:p>
        </w:tc>
        <w:tc>
          <w:tcPr>
            <w:tcW w:w="2880" w:type="dxa"/>
            <w:tcBorders>
              <w:top w:val="single" w:sz="8" w:space="0" w:color="7C8029"/>
              <w:left w:val="single" w:sz="8" w:space="0" w:color="7C8029"/>
              <w:bottom w:val="nil"/>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Commodity Accountability Policies and Procedures Manual</w:t>
            </w:r>
          </w:p>
        </w:tc>
        <w:tc>
          <w:tcPr>
            <w:tcW w:w="9647" w:type="dxa"/>
            <w:gridSpan w:val="2"/>
            <w:tcBorders>
              <w:top w:val="single" w:sz="8" w:space="0" w:color="7C8029"/>
              <w:left w:val="single" w:sz="8" w:space="0" w:color="7C8029"/>
              <w:bottom w:val="nil"/>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 xml:space="preserve">Commodity management organizations should maintain Commodity Accountability Policies and Procedures Manuals </w:t>
            </w:r>
            <w:r w:rsidR="002A3081">
              <w:rPr>
                <w:rFonts w:ascii="Calibri" w:hAnsi="Calibri"/>
                <w:sz w:val="20"/>
                <w:szCs w:val="20"/>
              </w:rPr>
              <w:t>that</w:t>
            </w:r>
            <w:r w:rsidRPr="001E05F1">
              <w:rPr>
                <w:rFonts w:ascii="Calibri" w:hAnsi="Calibri"/>
                <w:sz w:val="20"/>
                <w:szCs w:val="20"/>
              </w:rPr>
              <w:t xml:space="preserve"> describe the organization’s policies and procedures.</w:t>
            </w:r>
          </w:p>
        </w:tc>
      </w:tr>
      <w:tr w:rsidR="00ED629D" w:rsidTr="001E05F1">
        <w:trPr>
          <w:gridAfter w:val="1"/>
          <w:wAfter w:w="17" w:type="dxa"/>
          <w:trHeight w:val="360"/>
        </w:trPr>
        <w:tc>
          <w:tcPr>
            <w:tcW w:w="13788" w:type="dxa"/>
            <w:gridSpan w:val="3"/>
            <w:tcBorders>
              <w:top w:val="single" w:sz="8" w:space="0" w:color="7C8029"/>
              <w:left w:val="nil"/>
              <w:bottom w:val="single" w:sz="8" w:space="0" w:color="7C8029"/>
              <w:right w:val="nil"/>
            </w:tcBorders>
            <w:shd w:val="clear" w:color="auto" w:fill="BCC589"/>
            <w:vAlign w:val="center"/>
          </w:tcPr>
          <w:p w:rsidR="00ED629D" w:rsidRPr="001E05F1" w:rsidRDefault="00ED629D" w:rsidP="002A3081">
            <w:pPr>
              <w:rPr>
                <w:rFonts w:ascii="Calibri" w:hAnsi="Calibri"/>
                <w:b/>
                <w:sz w:val="22"/>
                <w:szCs w:val="22"/>
              </w:rPr>
            </w:pPr>
            <w:r w:rsidRPr="001E05F1">
              <w:rPr>
                <w:rFonts w:ascii="Calibri" w:hAnsi="Calibri"/>
                <w:b/>
                <w:sz w:val="22"/>
                <w:szCs w:val="22"/>
              </w:rPr>
              <w:t>CHAPTER II</w:t>
            </w:r>
            <w:r w:rsidR="002A3081">
              <w:rPr>
                <w:rFonts w:ascii="Calibri" w:hAnsi="Calibri"/>
                <w:b/>
                <w:sz w:val="22"/>
                <w:szCs w:val="22"/>
              </w:rPr>
              <w:t>:</w:t>
            </w:r>
            <w:r w:rsidRPr="001E05F1">
              <w:rPr>
                <w:rFonts w:ascii="Calibri" w:hAnsi="Calibri"/>
                <w:b/>
                <w:sz w:val="22"/>
                <w:szCs w:val="22"/>
              </w:rPr>
              <w:t xml:space="preserve"> FINANCIAL ACCOUNTABILITY</w:t>
            </w:r>
          </w:p>
        </w:tc>
      </w:tr>
      <w:tr w:rsidR="00ED629D" w:rsidTr="001E05F1">
        <w:tc>
          <w:tcPr>
            <w:tcW w:w="1278" w:type="dxa"/>
            <w:tcBorders>
              <w:top w:val="nil"/>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II-1</w:t>
            </w:r>
          </w:p>
        </w:tc>
        <w:tc>
          <w:tcPr>
            <w:tcW w:w="2880" w:type="dxa"/>
            <w:tcBorders>
              <w:top w:val="nil"/>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Chart of Accounts</w:t>
            </w:r>
          </w:p>
        </w:tc>
        <w:tc>
          <w:tcPr>
            <w:tcW w:w="9647" w:type="dxa"/>
            <w:gridSpan w:val="2"/>
            <w:tcBorders>
              <w:top w:val="nil"/>
              <w:left w:val="single" w:sz="8" w:space="0" w:color="7C8029"/>
              <w:bottom w:val="single" w:sz="8" w:space="0" w:color="7C8029"/>
              <w:right w:val="nil"/>
            </w:tcBorders>
          </w:tcPr>
          <w:p w:rsidR="00ED629D" w:rsidRPr="001E05F1" w:rsidRDefault="00ED629D" w:rsidP="00614178">
            <w:pPr>
              <w:spacing w:before="80" w:after="80"/>
              <w:rPr>
                <w:rFonts w:ascii="Calibri" w:hAnsi="Calibri"/>
                <w:sz w:val="20"/>
                <w:szCs w:val="20"/>
              </w:rPr>
            </w:pPr>
            <w:r w:rsidRPr="001E05F1">
              <w:rPr>
                <w:rFonts w:ascii="Calibri" w:hAnsi="Calibri"/>
                <w:sz w:val="20"/>
                <w:szCs w:val="20"/>
              </w:rPr>
              <w:t>Commodity management organizations should maintain a Chart of Accounts that describes the accounts used to record commodity transactions and provides a basis for fairly presenting financial data in published statements and reports.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Commodity Values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80" w:after="80"/>
              <w:rPr>
                <w:rFonts w:ascii="Calibri" w:hAnsi="Calibri"/>
                <w:sz w:val="20"/>
                <w:szCs w:val="20"/>
              </w:rPr>
            </w:pPr>
            <w:r w:rsidRPr="001E05F1">
              <w:rPr>
                <w:rFonts w:ascii="Calibri" w:hAnsi="Calibri"/>
                <w:sz w:val="20"/>
                <w:szCs w:val="20"/>
              </w:rPr>
              <w:t>Commodity management organizations should establish and use accounting policies that specify reasonable, standard bases for valuing and accounting for commodities</w:t>
            </w:r>
            <w:r w:rsidR="002A3081">
              <w:rPr>
                <w:rFonts w:ascii="Calibri" w:hAnsi="Calibri"/>
                <w:sz w:val="20"/>
                <w:szCs w:val="20"/>
              </w:rPr>
              <w:t>.</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Documents and Records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Commodity management organizations should maintain documents and records that accurately reflect all transactions involved in the receipt and disposition of all commodities up to the point where the commodities are issued for distribution or consumption.</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2A3081">
            <w:pPr>
              <w:rPr>
                <w:rFonts w:ascii="Calibri" w:hAnsi="Calibri"/>
                <w:sz w:val="20"/>
                <w:szCs w:val="20"/>
              </w:rPr>
            </w:pPr>
            <w:r w:rsidRPr="001E05F1">
              <w:rPr>
                <w:rFonts w:ascii="Calibri" w:hAnsi="Calibri"/>
                <w:sz w:val="20"/>
                <w:szCs w:val="20"/>
              </w:rPr>
              <w:t xml:space="preserve">Commodity Records and </w:t>
            </w:r>
            <w:r w:rsidR="002A3081">
              <w:rPr>
                <w:rFonts w:ascii="Calibri" w:hAnsi="Calibri"/>
                <w:sz w:val="20"/>
                <w:szCs w:val="20"/>
              </w:rPr>
              <w:t>D</w:t>
            </w:r>
            <w:r w:rsidRPr="001E05F1">
              <w:rPr>
                <w:rFonts w:ascii="Calibri" w:hAnsi="Calibri"/>
                <w:sz w:val="20"/>
                <w:szCs w:val="20"/>
              </w:rPr>
              <w:t>ocuments Safeguards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management organizations should establish and implement procedures for adequately safeguarding commodity records and documents.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lastRenderedPageBreak/>
              <w:t>II-5</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Commodity Transaction Recording</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transactions should be recorded in a timely manner so that the organization’s financial records provide the current status of commodity inventory balances, issuances</w:t>
            </w:r>
            <w:r w:rsidR="002A3081">
              <w:rPr>
                <w:rFonts w:ascii="Calibri" w:hAnsi="Calibri"/>
                <w:sz w:val="20"/>
                <w:szCs w:val="20"/>
              </w:rPr>
              <w:t>,</w:t>
            </w:r>
            <w:r w:rsidRPr="001E05F1">
              <w:rPr>
                <w:rFonts w:ascii="Calibri" w:hAnsi="Calibri"/>
                <w:sz w:val="20"/>
                <w:szCs w:val="20"/>
              </w:rPr>
              <w:t xml:space="preserve"> and value.</w:t>
            </w:r>
          </w:p>
        </w:tc>
      </w:tr>
      <w:tr w:rsidR="00ED629D" w:rsidTr="001E05F1">
        <w:tc>
          <w:tcPr>
            <w:tcW w:w="1278" w:type="dxa"/>
            <w:tcBorders>
              <w:top w:val="single" w:sz="8" w:space="0" w:color="7C8029"/>
              <w:left w:val="nil"/>
              <w:bottom w:val="nil"/>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II-6</w:t>
            </w:r>
          </w:p>
        </w:tc>
        <w:tc>
          <w:tcPr>
            <w:tcW w:w="2880" w:type="dxa"/>
            <w:tcBorders>
              <w:top w:val="single" w:sz="8" w:space="0" w:color="7C8029"/>
              <w:left w:val="single" w:sz="8" w:space="0" w:color="7C8029"/>
              <w:bottom w:val="nil"/>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Commodity Accounting Staffing</w:t>
            </w:r>
          </w:p>
        </w:tc>
        <w:tc>
          <w:tcPr>
            <w:tcW w:w="9647" w:type="dxa"/>
            <w:gridSpan w:val="2"/>
            <w:tcBorders>
              <w:top w:val="single" w:sz="8" w:space="0" w:color="7C8029"/>
              <w:left w:val="single" w:sz="8" w:space="0" w:color="7C8029"/>
              <w:bottom w:val="nil"/>
              <w:right w:val="nil"/>
            </w:tcBorders>
          </w:tcPr>
          <w:p w:rsidR="00ED629D" w:rsidRPr="001E05F1" w:rsidRDefault="002A3081" w:rsidP="002A3081">
            <w:pPr>
              <w:spacing w:before="120" w:after="120"/>
              <w:rPr>
                <w:rFonts w:ascii="Calibri" w:hAnsi="Calibri"/>
                <w:sz w:val="20"/>
                <w:szCs w:val="20"/>
              </w:rPr>
            </w:pPr>
            <w:r>
              <w:rPr>
                <w:rFonts w:ascii="Calibri" w:hAnsi="Calibri"/>
                <w:sz w:val="20"/>
                <w:szCs w:val="20"/>
              </w:rPr>
              <w:t>K</w:t>
            </w:r>
            <w:r w:rsidR="00ED629D" w:rsidRPr="001E05F1">
              <w:rPr>
                <w:rFonts w:ascii="Calibri" w:hAnsi="Calibri"/>
                <w:sz w:val="20"/>
                <w:szCs w:val="20"/>
              </w:rPr>
              <w:t>nowledgeable staff trained in commodity accounting</w:t>
            </w:r>
            <w:r>
              <w:rPr>
                <w:rFonts w:ascii="Calibri" w:hAnsi="Calibri"/>
                <w:sz w:val="20"/>
                <w:szCs w:val="20"/>
              </w:rPr>
              <w:t xml:space="preserve"> should perform commodity accounting.</w:t>
            </w:r>
          </w:p>
        </w:tc>
      </w:tr>
      <w:tr w:rsidR="00ED629D" w:rsidTr="001E05F1">
        <w:trPr>
          <w:gridAfter w:val="1"/>
          <w:wAfter w:w="17" w:type="dxa"/>
          <w:trHeight w:val="360"/>
        </w:trPr>
        <w:tc>
          <w:tcPr>
            <w:tcW w:w="13788" w:type="dxa"/>
            <w:gridSpan w:val="3"/>
            <w:tcBorders>
              <w:top w:val="single" w:sz="8" w:space="0" w:color="7C8029"/>
              <w:left w:val="nil"/>
              <w:bottom w:val="single" w:sz="8" w:space="0" w:color="7C8029"/>
              <w:right w:val="nil"/>
            </w:tcBorders>
            <w:shd w:val="clear" w:color="auto" w:fill="BCC589"/>
            <w:vAlign w:val="center"/>
          </w:tcPr>
          <w:p w:rsidR="00ED629D" w:rsidRPr="00614178" w:rsidRDefault="00ED629D" w:rsidP="002A3081">
            <w:pPr>
              <w:rPr>
                <w:rFonts w:ascii="Calibri" w:hAnsi="Calibri"/>
                <w:b/>
              </w:rPr>
            </w:pPr>
            <w:r w:rsidRPr="00614178">
              <w:rPr>
                <w:rFonts w:ascii="Calibri" w:hAnsi="Calibri"/>
                <w:b/>
              </w:rPr>
              <w:t>CHAPTER III</w:t>
            </w:r>
            <w:r w:rsidR="002A3081">
              <w:rPr>
                <w:rFonts w:ascii="Calibri" w:hAnsi="Calibri"/>
                <w:b/>
              </w:rPr>
              <w:t xml:space="preserve">: </w:t>
            </w:r>
            <w:r w:rsidRPr="00614178">
              <w:rPr>
                <w:rFonts w:ascii="Calibri" w:hAnsi="Calibri"/>
                <w:b/>
              </w:rPr>
              <w:t>INTERNAL CONTROLS AND AUDIT</w:t>
            </w:r>
          </w:p>
        </w:tc>
      </w:tr>
      <w:tr w:rsidR="00ED629D" w:rsidTr="001E05F1">
        <w:tc>
          <w:tcPr>
            <w:tcW w:w="1278" w:type="dxa"/>
            <w:tcBorders>
              <w:top w:val="nil"/>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III-1</w:t>
            </w:r>
          </w:p>
        </w:tc>
        <w:tc>
          <w:tcPr>
            <w:tcW w:w="2880" w:type="dxa"/>
            <w:tcBorders>
              <w:top w:val="nil"/>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Internal Control Systems</w:t>
            </w:r>
          </w:p>
        </w:tc>
        <w:tc>
          <w:tcPr>
            <w:tcW w:w="9647" w:type="dxa"/>
            <w:gridSpan w:val="2"/>
            <w:tcBorders>
              <w:top w:val="nil"/>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Commodity management organizations should establish and maintain systems of internal control over commodity transactions</w:t>
            </w:r>
            <w:r w:rsidR="002A3081">
              <w:rPr>
                <w:rFonts w:ascii="Calibri" w:hAnsi="Calibri"/>
                <w:sz w:val="20"/>
                <w:szCs w:val="20"/>
              </w:rPr>
              <w:t>,</w:t>
            </w:r>
            <w:r w:rsidRPr="001E05F1">
              <w:rPr>
                <w:rFonts w:ascii="Calibri" w:hAnsi="Calibri"/>
                <w:sz w:val="20"/>
                <w:szCs w:val="20"/>
              </w:rPr>
              <w:t xml:space="preserve"> which ensure that its policies and procedures are being followed. The systems will also provide reasonable assurance that the assets of the organization are efficiently managed and used for their intended purpose.</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III-2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2A3081">
            <w:pPr>
              <w:rPr>
                <w:rFonts w:ascii="Calibri" w:hAnsi="Calibri"/>
                <w:sz w:val="20"/>
                <w:szCs w:val="20"/>
              </w:rPr>
            </w:pPr>
            <w:r w:rsidRPr="001E05F1">
              <w:rPr>
                <w:rFonts w:ascii="Calibri" w:hAnsi="Calibri"/>
                <w:sz w:val="20"/>
                <w:szCs w:val="20"/>
              </w:rPr>
              <w:t xml:space="preserve">Separation of </w:t>
            </w:r>
            <w:r w:rsidR="002A3081">
              <w:rPr>
                <w:rFonts w:ascii="Calibri" w:hAnsi="Calibri"/>
                <w:sz w:val="20"/>
                <w:szCs w:val="20"/>
              </w:rPr>
              <w:t>D</w:t>
            </w:r>
            <w:r w:rsidRPr="001E05F1">
              <w:rPr>
                <w:rFonts w:ascii="Calibri" w:hAnsi="Calibri"/>
                <w:sz w:val="20"/>
                <w:szCs w:val="20"/>
              </w:rPr>
              <w:t>uties and Responsibilities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The organizational structure of a commodity management organization should ensure the proper separation of duties and responsibilities of its staff as a critical part of an effective system of internal controls.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III-3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Internal Audit</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Commodity management organizations should provide for periodic internal audits of their commodity accountability systems to assess the reliability of the systems as a whole and to ensure that the systems function at the desired levels of efficiency and effectiveness.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III-4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External Audit</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Commodity management organizations should have a plan for supplementing internal audit activities through the use of outside certified public accounting firms. Outside audits can address whatever examination needs management may have, but</w:t>
            </w:r>
            <w:r w:rsidR="002A3081">
              <w:rPr>
                <w:rFonts w:ascii="Calibri" w:hAnsi="Calibri"/>
                <w:sz w:val="20"/>
                <w:szCs w:val="20"/>
              </w:rPr>
              <w:t>,</w:t>
            </w:r>
            <w:r w:rsidRPr="001E05F1">
              <w:rPr>
                <w:rFonts w:ascii="Calibri" w:hAnsi="Calibri"/>
                <w:sz w:val="20"/>
                <w:szCs w:val="20"/>
              </w:rPr>
              <w:t xml:space="preserve"> at a minimum</w:t>
            </w:r>
            <w:r w:rsidR="002A3081">
              <w:rPr>
                <w:rFonts w:ascii="Calibri" w:hAnsi="Calibri"/>
                <w:sz w:val="20"/>
                <w:szCs w:val="20"/>
              </w:rPr>
              <w:t>,</w:t>
            </w:r>
            <w:r w:rsidRPr="001E05F1">
              <w:rPr>
                <w:rFonts w:ascii="Calibri" w:hAnsi="Calibri"/>
                <w:sz w:val="20"/>
                <w:szCs w:val="20"/>
              </w:rPr>
              <w:t xml:space="preserve"> annual financial statement audits should be directed to expressing opinions about the organization’s results of operations and its compliance with laws and regulations, including those applicable to federal financial assistance programs</w:t>
            </w:r>
            <w:r w:rsidR="002A3081">
              <w:rPr>
                <w:rFonts w:ascii="Calibri" w:hAnsi="Calibri"/>
                <w:sz w:val="20"/>
                <w:szCs w:val="20"/>
              </w:rPr>
              <w:t>,</w:t>
            </w:r>
            <w:r w:rsidRPr="001E05F1">
              <w:rPr>
                <w:rFonts w:ascii="Calibri" w:hAnsi="Calibri"/>
                <w:sz w:val="20"/>
                <w:szCs w:val="20"/>
              </w:rPr>
              <w:t xml:space="preserve"> and the adequacy of the internal control systems.</w:t>
            </w:r>
          </w:p>
        </w:tc>
      </w:tr>
      <w:tr w:rsidR="00ED629D" w:rsidTr="001E05F1">
        <w:tc>
          <w:tcPr>
            <w:tcW w:w="1278" w:type="dxa"/>
            <w:tcBorders>
              <w:top w:val="single" w:sz="8" w:space="0" w:color="7C8029"/>
              <w:left w:val="nil"/>
              <w:bottom w:val="nil"/>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III-5</w:t>
            </w:r>
          </w:p>
        </w:tc>
        <w:tc>
          <w:tcPr>
            <w:tcW w:w="2880" w:type="dxa"/>
            <w:tcBorders>
              <w:top w:val="single" w:sz="8" w:space="0" w:color="7C8029"/>
              <w:left w:val="single" w:sz="8" w:space="0" w:color="7C8029"/>
              <w:bottom w:val="nil"/>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Compliance</w:t>
            </w:r>
          </w:p>
        </w:tc>
        <w:tc>
          <w:tcPr>
            <w:tcW w:w="9647" w:type="dxa"/>
            <w:gridSpan w:val="2"/>
            <w:tcBorders>
              <w:top w:val="single" w:sz="8" w:space="0" w:color="7C8029"/>
              <w:left w:val="single" w:sz="8" w:space="0" w:color="7C8029"/>
              <w:bottom w:val="nil"/>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management organizations should comply with the terms and conditions of all contractual arrangements entered into</w:t>
            </w:r>
            <w:r w:rsidR="002A3081">
              <w:rPr>
                <w:rFonts w:ascii="Calibri" w:hAnsi="Calibri"/>
                <w:sz w:val="20"/>
                <w:szCs w:val="20"/>
              </w:rPr>
              <w:t>,</w:t>
            </w:r>
            <w:r w:rsidRPr="001E05F1">
              <w:rPr>
                <w:rFonts w:ascii="Calibri" w:hAnsi="Calibri"/>
                <w:sz w:val="20"/>
                <w:szCs w:val="20"/>
              </w:rPr>
              <w:t xml:space="preserve"> or be prepared to justify why compliance was not possible or necessary.</w:t>
            </w:r>
          </w:p>
        </w:tc>
      </w:tr>
      <w:tr w:rsidR="00ED629D" w:rsidRPr="00614178" w:rsidTr="001E05F1">
        <w:trPr>
          <w:gridAfter w:val="1"/>
          <w:wAfter w:w="17" w:type="dxa"/>
          <w:trHeight w:val="360"/>
        </w:trPr>
        <w:tc>
          <w:tcPr>
            <w:tcW w:w="13788" w:type="dxa"/>
            <w:gridSpan w:val="3"/>
            <w:tcBorders>
              <w:top w:val="single" w:sz="8" w:space="0" w:color="7C8029"/>
              <w:left w:val="nil"/>
              <w:bottom w:val="single" w:sz="8" w:space="0" w:color="7C8029"/>
              <w:right w:val="nil"/>
            </w:tcBorders>
            <w:shd w:val="clear" w:color="auto" w:fill="BCC589"/>
          </w:tcPr>
          <w:p w:rsidR="00ED629D" w:rsidRPr="00614178" w:rsidRDefault="00ED629D" w:rsidP="002A3081">
            <w:pPr>
              <w:spacing w:before="80" w:after="80"/>
              <w:rPr>
                <w:rFonts w:ascii="Calibri" w:hAnsi="Calibri"/>
                <w:b/>
              </w:rPr>
            </w:pPr>
            <w:r w:rsidRPr="00614178">
              <w:rPr>
                <w:rFonts w:ascii="Calibri" w:hAnsi="Calibri"/>
                <w:b/>
              </w:rPr>
              <w:t>CHAPTER IV</w:t>
            </w:r>
            <w:r w:rsidR="002A3081">
              <w:rPr>
                <w:rFonts w:ascii="Calibri" w:hAnsi="Calibri"/>
                <w:b/>
              </w:rPr>
              <w:t>:</w:t>
            </w:r>
            <w:r w:rsidRPr="00614178">
              <w:rPr>
                <w:rFonts w:ascii="Calibri" w:hAnsi="Calibri"/>
                <w:b/>
              </w:rPr>
              <w:t xml:space="preserve"> COMMODITY INVENTORY MANAGEMENT</w:t>
            </w:r>
          </w:p>
        </w:tc>
      </w:tr>
      <w:tr w:rsidR="00ED629D" w:rsidTr="001E05F1">
        <w:tc>
          <w:tcPr>
            <w:tcW w:w="1278" w:type="dxa"/>
            <w:tcBorders>
              <w:top w:val="nil"/>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IV-1</w:t>
            </w:r>
          </w:p>
        </w:tc>
        <w:tc>
          <w:tcPr>
            <w:tcW w:w="2880" w:type="dxa"/>
            <w:tcBorders>
              <w:top w:val="nil"/>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Inventory Control</w:t>
            </w:r>
          </w:p>
        </w:tc>
        <w:tc>
          <w:tcPr>
            <w:tcW w:w="9647" w:type="dxa"/>
            <w:gridSpan w:val="2"/>
            <w:tcBorders>
              <w:top w:val="nil"/>
              <w:left w:val="single" w:sz="8" w:space="0" w:color="7C8029"/>
              <w:bottom w:val="single" w:sz="8" w:space="0" w:color="7C8029"/>
              <w:right w:val="nil"/>
            </w:tcBorders>
          </w:tcPr>
          <w:p w:rsidR="00ED629D" w:rsidRPr="001E05F1" w:rsidRDefault="00ED629D" w:rsidP="002A3081">
            <w:pPr>
              <w:spacing w:before="120" w:after="120"/>
              <w:rPr>
                <w:rFonts w:ascii="Calibri" w:hAnsi="Calibri"/>
                <w:sz w:val="20"/>
                <w:szCs w:val="20"/>
              </w:rPr>
            </w:pPr>
            <w:r w:rsidRPr="001E05F1">
              <w:rPr>
                <w:rFonts w:ascii="Calibri" w:hAnsi="Calibri"/>
                <w:sz w:val="20"/>
                <w:szCs w:val="20"/>
              </w:rPr>
              <w:t>Commodity management organizations should maintain inventory control over commodities entrusted to them up to the point where the commodities are turned over to another organization responsible for exercising similar management control over and responsibility for the commodities.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lastRenderedPageBreak/>
              <w:t>IV-2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Storage and Handling</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management organizations should establish and use appropriate storage and handling procedures to protect the quality of commodities and guard against undue losses.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IV-3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Inventory Records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management organizations should maintain a perpetual system of inventory records at all management levels to record and report commodity receipts, issues</w:t>
            </w:r>
            <w:r w:rsidR="002C3A29">
              <w:rPr>
                <w:rFonts w:ascii="Calibri" w:hAnsi="Calibri"/>
                <w:sz w:val="20"/>
                <w:szCs w:val="20"/>
              </w:rPr>
              <w:t>,</w:t>
            </w:r>
            <w:r w:rsidRPr="001E05F1">
              <w:rPr>
                <w:rFonts w:ascii="Calibri" w:hAnsi="Calibri"/>
                <w:sz w:val="20"/>
                <w:szCs w:val="20"/>
              </w:rPr>
              <w:t xml:space="preserve"> and adjustments to inventory.</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IV-4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Inventory Verification</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Warehoused commodities should be physically counted regularly, no less than annually, by persons other than those i</w:t>
            </w:r>
            <w:r w:rsidR="00A84CEB" w:rsidRPr="001E05F1">
              <w:rPr>
                <w:rFonts w:ascii="Calibri" w:hAnsi="Calibri"/>
                <w:sz w:val="20"/>
                <w:szCs w:val="20"/>
              </w:rPr>
              <w:t>nvolved in the receipt and issu</w:t>
            </w:r>
            <w:r w:rsidRPr="001E05F1">
              <w:rPr>
                <w:rFonts w:ascii="Calibri" w:hAnsi="Calibri"/>
                <w:sz w:val="20"/>
                <w:szCs w:val="20"/>
              </w:rPr>
              <w:t>ance of commodities at the warehouse level. The results of physical inventories should be compared with the related commodity accounting records</w:t>
            </w:r>
            <w:r w:rsidR="002C3A29">
              <w:rPr>
                <w:rFonts w:ascii="Calibri" w:hAnsi="Calibri"/>
                <w:sz w:val="20"/>
                <w:szCs w:val="20"/>
              </w:rPr>
              <w:t>,</w:t>
            </w:r>
            <w:r w:rsidRPr="001E05F1">
              <w:rPr>
                <w:rFonts w:ascii="Calibri" w:hAnsi="Calibri"/>
                <w:sz w:val="20"/>
                <w:szCs w:val="20"/>
              </w:rPr>
              <w:t xml:space="preserve"> and the records adjusted accordingly by authorized personnel. Recurring physical inventories made by outside staff should be supplemented by periodic counts made by warehouse staff as part of their commodity management responsibilities.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IV-5</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End-Use Checks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 xml:space="preserve">Commodity management organizations should establish and implement procedures for making end-use checks of commodities to ensure that commodities reach intended beneficiaries and that the commodities </w:t>
            </w:r>
            <w:r w:rsidR="00A84CEB" w:rsidRPr="001E05F1">
              <w:rPr>
                <w:rFonts w:ascii="Calibri" w:hAnsi="Calibri"/>
                <w:sz w:val="20"/>
                <w:szCs w:val="20"/>
              </w:rPr>
              <w:t>a</w:t>
            </w:r>
            <w:r w:rsidRPr="001E05F1">
              <w:rPr>
                <w:rFonts w:ascii="Calibri" w:hAnsi="Calibri"/>
                <w:sz w:val="20"/>
                <w:szCs w:val="20"/>
              </w:rPr>
              <w:t>re used for agreed-upon purposes.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IV-6</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Accountability and Liability Limits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management organizations should ensure that accounting and accountability responsibilities and liability limits for accepting and using resources are clearly specified in agreements and contracts with donors, sub</w:t>
            </w:r>
            <w:r w:rsidR="000965D5" w:rsidRPr="001E05F1">
              <w:rPr>
                <w:rFonts w:ascii="Calibri" w:hAnsi="Calibri"/>
                <w:sz w:val="20"/>
                <w:szCs w:val="20"/>
              </w:rPr>
              <w:t>-</w:t>
            </w:r>
            <w:r w:rsidRPr="001E05F1">
              <w:rPr>
                <w:rFonts w:ascii="Calibri" w:hAnsi="Calibri"/>
                <w:sz w:val="20"/>
                <w:szCs w:val="20"/>
              </w:rPr>
              <w:t>recipient organizations, transporters, and suppliers of goods or services. The agreements and contracts should be legally binding and specify the period for which they are in force.</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IV-7</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Loss and Claim Documentation Procedures</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614178">
            <w:pPr>
              <w:spacing w:before="120" w:after="120"/>
              <w:rPr>
                <w:rFonts w:ascii="Calibri" w:hAnsi="Calibri"/>
                <w:sz w:val="20"/>
                <w:szCs w:val="20"/>
              </w:rPr>
            </w:pPr>
            <w:r w:rsidRPr="001E05F1">
              <w:rPr>
                <w:rFonts w:ascii="Calibri" w:hAnsi="Calibri"/>
                <w:sz w:val="20"/>
                <w:szCs w:val="20"/>
              </w:rPr>
              <w:t>Commodity management organizations should develop and implement specific procedures for estimating and assessing commodity losses</w:t>
            </w:r>
            <w:r w:rsidR="002C3A29">
              <w:rPr>
                <w:rFonts w:ascii="Calibri" w:hAnsi="Calibri"/>
                <w:sz w:val="20"/>
                <w:szCs w:val="20"/>
              </w:rPr>
              <w:t>,</w:t>
            </w:r>
            <w:r w:rsidRPr="001E05F1">
              <w:rPr>
                <w:rFonts w:ascii="Calibri" w:hAnsi="Calibri"/>
                <w:sz w:val="20"/>
                <w:szCs w:val="20"/>
              </w:rPr>
              <w:t xml:space="preserve"> and pursuing and resolving claims. These procedures should be referred to in any contractual agreements entered into with sub</w:t>
            </w:r>
            <w:r w:rsidR="000965D5" w:rsidRPr="001E05F1">
              <w:rPr>
                <w:rFonts w:ascii="Calibri" w:hAnsi="Calibri"/>
                <w:sz w:val="20"/>
                <w:szCs w:val="20"/>
              </w:rPr>
              <w:t>-</w:t>
            </w:r>
            <w:r w:rsidRPr="001E05F1">
              <w:rPr>
                <w:rFonts w:ascii="Calibri" w:hAnsi="Calibri"/>
                <w:sz w:val="20"/>
                <w:szCs w:val="20"/>
              </w:rPr>
              <w:t>recipient organizations, donors</w:t>
            </w:r>
            <w:r w:rsidR="002C3A29">
              <w:rPr>
                <w:rFonts w:ascii="Calibri" w:hAnsi="Calibri"/>
                <w:sz w:val="20"/>
                <w:szCs w:val="20"/>
              </w:rPr>
              <w:t>,</w:t>
            </w:r>
            <w:r w:rsidRPr="001E05F1">
              <w:rPr>
                <w:rFonts w:ascii="Calibri" w:hAnsi="Calibri"/>
                <w:sz w:val="20"/>
                <w:szCs w:val="20"/>
              </w:rPr>
              <w:t xml:space="preserve"> and host government agencies.</w:t>
            </w:r>
          </w:p>
        </w:tc>
      </w:tr>
      <w:tr w:rsidR="00ED629D" w:rsidTr="001E05F1">
        <w:tc>
          <w:tcPr>
            <w:tcW w:w="1278" w:type="dxa"/>
            <w:tcBorders>
              <w:top w:val="single" w:sz="8" w:space="0" w:color="7C8029"/>
              <w:left w:val="nil"/>
              <w:bottom w:val="single" w:sz="8" w:space="0" w:color="7C8029"/>
              <w:right w:val="single" w:sz="8" w:space="0" w:color="7C8029"/>
            </w:tcBorders>
            <w:vAlign w:val="center"/>
          </w:tcPr>
          <w:p w:rsidR="00ED629D" w:rsidRPr="001E05F1" w:rsidRDefault="00ED629D" w:rsidP="00614178">
            <w:pPr>
              <w:jc w:val="center"/>
              <w:rPr>
                <w:rFonts w:ascii="Calibri" w:hAnsi="Calibri"/>
                <w:sz w:val="20"/>
                <w:szCs w:val="20"/>
              </w:rPr>
            </w:pPr>
            <w:r w:rsidRPr="001E05F1">
              <w:rPr>
                <w:rFonts w:ascii="Calibri" w:hAnsi="Calibri"/>
                <w:sz w:val="20"/>
                <w:szCs w:val="20"/>
              </w:rPr>
              <w:t>IV-8</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E05F1" w:rsidRDefault="00ED629D" w:rsidP="00614178">
            <w:pPr>
              <w:rPr>
                <w:rFonts w:ascii="Calibri" w:hAnsi="Calibri"/>
                <w:sz w:val="20"/>
                <w:szCs w:val="20"/>
              </w:rPr>
            </w:pPr>
            <w:r w:rsidRPr="001E05F1">
              <w:rPr>
                <w:rFonts w:ascii="Calibri" w:hAnsi="Calibri"/>
                <w:sz w:val="20"/>
                <w:szCs w:val="20"/>
              </w:rPr>
              <w:t>Commodity Reporting</w:t>
            </w:r>
          </w:p>
        </w:tc>
        <w:tc>
          <w:tcPr>
            <w:tcW w:w="9647" w:type="dxa"/>
            <w:gridSpan w:val="2"/>
            <w:tcBorders>
              <w:top w:val="single" w:sz="8" w:space="0" w:color="7C8029"/>
              <w:left w:val="single" w:sz="8" w:space="0" w:color="7C8029"/>
              <w:bottom w:val="single" w:sz="8" w:space="0" w:color="7C8029"/>
              <w:right w:val="nil"/>
            </w:tcBorders>
          </w:tcPr>
          <w:p w:rsidR="00ED629D" w:rsidRPr="001E05F1" w:rsidRDefault="00ED629D" w:rsidP="002C3A29">
            <w:pPr>
              <w:spacing w:before="120" w:after="120"/>
              <w:rPr>
                <w:rFonts w:ascii="Calibri" w:hAnsi="Calibri"/>
                <w:sz w:val="20"/>
                <w:szCs w:val="20"/>
              </w:rPr>
            </w:pPr>
            <w:r w:rsidRPr="001E05F1">
              <w:rPr>
                <w:rFonts w:ascii="Calibri" w:hAnsi="Calibri"/>
                <w:sz w:val="20"/>
                <w:szCs w:val="20"/>
              </w:rPr>
              <w:t>Commodity management organizations’ field offices should prepare annual summary reports for their commodity activities and make them available to headquarters staff, donors, host government</w:t>
            </w:r>
            <w:r w:rsidR="002C3A29">
              <w:rPr>
                <w:rFonts w:ascii="Calibri" w:hAnsi="Calibri"/>
                <w:sz w:val="20"/>
                <w:szCs w:val="20"/>
              </w:rPr>
              <w:t>s,</w:t>
            </w:r>
            <w:r w:rsidRPr="001E05F1">
              <w:rPr>
                <w:rFonts w:ascii="Calibri" w:hAnsi="Calibri"/>
                <w:sz w:val="20"/>
                <w:szCs w:val="20"/>
              </w:rPr>
              <w:t xml:space="preserve"> and other counterparts.</w:t>
            </w:r>
          </w:p>
        </w:tc>
      </w:tr>
      <w:bookmarkEnd w:id="0"/>
    </w:tbl>
    <w:p w:rsidR="00655CF5" w:rsidRDefault="00655CF5"/>
    <w:sectPr w:rsidR="00655CF5" w:rsidSect="00614178">
      <w:headerReference w:type="default" r:id="rId6"/>
      <w:footerReference w:type="default" r:id="rId7"/>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5C" w:rsidRDefault="00D8105C">
      <w:r>
        <w:separator/>
      </w:r>
    </w:p>
  </w:endnote>
  <w:endnote w:type="continuationSeparator" w:id="0">
    <w:p w:rsidR="00D8105C" w:rsidRDefault="00D8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78" w:rsidRPr="001E05F1" w:rsidRDefault="00614178">
    <w:pPr>
      <w:pStyle w:val="Footer"/>
      <w:jc w:val="center"/>
      <w:rPr>
        <w:rFonts w:ascii="Calibri" w:hAnsi="Calibri"/>
        <w:sz w:val="22"/>
        <w:szCs w:val="22"/>
      </w:rPr>
    </w:pPr>
    <w:r w:rsidRPr="001E05F1">
      <w:rPr>
        <w:rFonts w:ascii="Calibri" w:hAnsi="Calibri"/>
        <w:sz w:val="22"/>
        <w:szCs w:val="22"/>
      </w:rPr>
      <w:t xml:space="preserve">Page </w:t>
    </w:r>
    <w:r w:rsidR="00744878" w:rsidRPr="001E05F1">
      <w:rPr>
        <w:rFonts w:ascii="Calibri" w:hAnsi="Calibri"/>
        <w:sz w:val="22"/>
        <w:szCs w:val="22"/>
      </w:rPr>
      <w:fldChar w:fldCharType="begin"/>
    </w:r>
    <w:r w:rsidRPr="001E05F1">
      <w:rPr>
        <w:rFonts w:ascii="Calibri" w:hAnsi="Calibri"/>
        <w:sz w:val="22"/>
        <w:szCs w:val="22"/>
      </w:rPr>
      <w:instrText xml:space="preserve"> PAGE </w:instrText>
    </w:r>
    <w:r w:rsidR="00744878" w:rsidRPr="001E05F1">
      <w:rPr>
        <w:rFonts w:ascii="Calibri" w:hAnsi="Calibri"/>
        <w:sz w:val="22"/>
        <w:szCs w:val="22"/>
      </w:rPr>
      <w:fldChar w:fldCharType="separate"/>
    </w:r>
    <w:r w:rsidR="002C3A29">
      <w:rPr>
        <w:rFonts w:ascii="Calibri" w:hAnsi="Calibri"/>
        <w:noProof/>
        <w:sz w:val="22"/>
        <w:szCs w:val="22"/>
      </w:rPr>
      <w:t>2</w:t>
    </w:r>
    <w:r w:rsidR="00744878" w:rsidRPr="001E05F1">
      <w:rPr>
        <w:rFonts w:ascii="Calibri" w:hAnsi="Calibri"/>
        <w:sz w:val="22"/>
        <w:szCs w:val="22"/>
      </w:rPr>
      <w:fldChar w:fldCharType="end"/>
    </w:r>
    <w:r w:rsidRPr="001E05F1">
      <w:rPr>
        <w:rFonts w:ascii="Calibri" w:hAnsi="Calibri"/>
        <w:sz w:val="22"/>
        <w:szCs w:val="22"/>
      </w:rPr>
      <w:t xml:space="preserve"> of </w:t>
    </w:r>
    <w:r w:rsidR="00744878" w:rsidRPr="001E05F1">
      <w:rPr>
        <w:rFonts w:ascii="Calibri" w:hAnsi="Calibri"/>
        <w:sz w:val="22"/>
        <w:szCs w:val="22"/>
      </w:rPr>
      <w:fldChar w:fldCharType="begin"/>
    </w:r>
    <w:r w:rsidRPr="001E05F1">
      <w:rPr>
        <w:rFonts w:ascii="Calibri" w:hAnsi="Calibri"/>
        <w:sz w:val="22"/>
        <w:szCs w:val="22"/>
      </w:rPr>
      <w:instrText xml:space="preserve"> NUMPAGES  </w:instrText>
    </w:r>
    <w:r w:rsidR="00744878" w:rsidRPr="001E05F1">
      <w:rPr>
        <w:rFonts w:ascii="Calibri" w:hAnsi="Calibri"/>
        <w:sz w:val="22"/>
        <w:szCs w:val="22"/>
      </w:rPr>
      <w:fldChar w:fldCharType="separate"/>
    </w:r>
    <w:r w:rsidR="002C3A29">
      <w:rPr>
        <w:rFonts w:ascii="Calibri" w:hAnsi="Calibri"/>
        <w:noProof/>
        <w:sz w:val="22"/>
        <w:szCs w:val="22"/>
      </w:rPr>
      <w:t>3</w:t>
    </w:r>
    <w:r w:rsidR="00744878" w:rsidRPr="001E05F1">
      <w:rPr>
        <w:rFonts w:ascii="Calibri" w:hAnsi="Calibri"/>
        <w:sz w:val="22"/>
        <w:szCs w:val="22"/>
      </w:rPr>
      <w:fldChar w:fldCharType="end"/>
    </w:r>
  </w:p>
  <w:p w:rsidR="00125998" w:rsidRPr="000965D5" w:rsidRDefault="00125998">
    <w:pPr>
      <w:pStyle w:val="Footer"/>
      <w:rPr>
        <w:rFonts w:ascii="Goudy Old Style" w:hAnsi="Goudy Old Sty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5C" w:rsidRDefault="00D8105C">
      <w:r>
        <w:separator/>
      </w:r>
    </w:p>
  </w:footnote>
  <w:footnote w:type="continuationSeparator" w:id="0">
    <w:p w:rsidR="00D8105C" w:rsidRDefault="00D8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78" w:rsidRPr="00840073" w:rsidRDefault="00614178" w:rsidP="00614178">
    <w:pPr>
      <w:pStyle w:val="Header"/>
      <w:jc w:val="center"/>
      <w:rPr>
        <w:rFonts w:ascii="Calibri" w:hAnsi="Calibri" w:cs="Arial"/>
      </w:rPr>
    </w:pPr>
    <w:r w:rsidRPr="001E05F1">
      <w:rPr>
        <w:rFonts w:ascii="Calibri" w:hAnsi="Calibri"/>
        <w:b/>
        <w:color w:val="237990"/>
        <w:sz w:val="28"/>
        <w:szCs w:val="28"/>
      </w:rPr>
      <w:t>GAC</w:t>
    </w:r>
    <w:r w:rsidR="00DA0359" w:rsidRPr="001E05F1">
      <w:rPr>
        <w:rFonts w:ascii="Calibri" w:hAnsi="Calibri"/>
        <w:b/>
        <w:color w:val="237990"/>
        <w:sz w:val="28"/>
        <w:szCs w:val="28"/>
      </w:rPr>
      <w:t>A</w:t>
    </w:r>
    <w:r w:rsidRPr="001E05F1">
      <w:rPr>
        <w:rFonts w:ascii="Calibri" w:hAnsi="Calibri"/>
        <w:b/>
        <w:color w:val="237990"/>
        <w:sz w:val="28"/>
        <w:szCs w:val="28"/>
      </w:rPr>
      <w:t>P</w:t>
    </w:r>
    <w:r w:rsidR="002C3A29">
      <w:rPr>
        <w:rFonts w:ascii="Calibri" w:hAnsi="Calibri"/>
        <w:b/>
        <w:color w:val="237990"/>
        <w:sz w:val="28"/>
        <w:szCs w:val="28"/>
      </w:rPr>
      <w:t xml:space="preserve"> </w:t>
    </w:r>
    <w:r w:rsidRPr="001E05F1">
      <w:rPr>
        <w:rFonts w:ascii="Calibri" w:hAnsi="Calibri"/>
        <w:b/>
        <w:color w:val="237990"/>
        <w:sz w:val="28"/>
        <w:szCs w:val="28"/>
      </w:rPr>
      <w:t>S</w:t>
    </w:r>
    <w:r w:rsidR="00DA0359" w:rsidRPr="001E05F1">
      <w:rPr>
        <w:rFonts w:ascii="Calibri" w:hAnsi="Calibri"/>
        <w:b/>
        <w:color w:val="237990"/>
        <w:sz w:val="28"/>
        <w:szCs w:val="28"/>
      </w:rPr>
      <w:t>ummary</w:t>
    </w:r>
    <w:r w:rsidR="00DA0359">
      <w:rPr>
        <w:rFonts w:ascii="Calibri" w:hAnsi="Calibri"/>
        <w:b/>
        <w:sz w:val="28"/>
        <w:szCs w:val="28"/>
      </w:rPr>
      <w:t xml:space="preserve"> </w:t>
    </w:r>
  </w:p>
  <w:p w:rsidR="004756A0" w:rsidRPr="00786253" w:rsidRDefault="004756A0" w:rsidP="00786253">
    <w:pPr>
      <w:pStyle w:val="Header"/>
      <w:spacing w:before="60" w:after="60"/>
      <w:jc w:val="center"/>
      <w:rPr>
        <w:rFonts w:asciiTheme="minorHAnsi" w:hAnsiTheme="minorHAnsi" w:cstheme="minorHAnsi"/>
        <w:sz w:val="20"/>
        <w:szCs w:val="20"/>
      </w:rPr>
    </w:pPr>
    <w:r w:rsidRPr="00786253">
      <w:rPr>
        <w:rFonts w:asciiTheme="minorHAnsi" w:hAnsiTheme="minorHAnsi" w:cstheme="minorHAnsi"/>
        <w:sz w:val="20"/>
        <w:szCs w:val="20"/>
      </w:rPr>
      <w:t>(</w:t>
    </w:r>
    <w:r w:rsidR="00DC5842">
      <w:rPr>
        <w:rFonts w:asciiTheme="minorHAnsi" w:hAnsiTheme="minorHAnsi" w:cstheme="minorHAnsi"/>
        <w:sz w:val="20"/>
        <w:szCs w:val="20"/>
      </w:rPr>
      <w:t>The c</w:t>
    </w:r>
    <w:r w:rsidR="00786253" w:rsidRPr="00786253">
      <w:rPr>
        <w:rFonts w:asciiTheme="minorHAnsi" w:hAnsiTheme="minorHAnsi" w:cstheme="minorHAnsi"/>
        <w:sz w:val="20"/>
        <w:szCs w:val="20"/>
      </w:rPr>
      <w:t>omplete</w:t>
    </w:r>
    <w:r w:rsidR="00786253" w:rsidRPr="00786253">
      <w:rPr>
        <w:rFonts w:asciiTheme="minorHAnsi" w:hAnsiTheme="minorHAnsi" w:cstheme="minorHAnsi"/>
        <w:bCs/>
        <w:color w:val="000000"/>
        <w:sz w:val="20"/>
        <w:szCs w:val="20"/>
      </w:rPr>
      <w:t xml:space="preserve"> </w:t>
    </w:r>
    <w:r w:rsidR="00786253" w:rsidRPr="00786253">
      <w:rPr>
        <w:rFonts w:asciiTheme="minorHAnsi" w:hAnsiTheme="minorHAnsi" w:cstheme="minorHAnsi"/>
        <w:bCs/>
        <w:i/>
        <w:color w:val="000000"/>
        <w:sz w:val="20"/>
        <w:szCs w:val="20"/>
      </w:rPr>
      <w:t>Generally Accepted Commodity Accountability Principles</w:t>
    </w:r>
    <w:r w:rsidR="00786253" w:rsidRPr="00786253">
      <w:rPr>
        <w:rFonts w:asciiTheme="minorHAnsi" w:hAnsiTheme="minorHAnsi" w:cstheme="minorHAnsi"/>
        <w:bCs/>
        <w:color w:val="000000"/>
        <w:sz w:val="20"/>
        <w:szCs w:val="20"/>
      </w:rPr>
      <w:t xml:space="preserve"> </w:t>
    </w:r>
    <w:r w:rsidR="00DC5842">
      <w:rPr>
        <w:rFonts w:asciiTheme="minorHAnsi" w:hAnsiTheme="minorHAnsi" w:cstheme="minorHAnsi"/>
        <w:bCs/>
        <w:color w:val="000000"/>
        <w:sz w:val="20"/>
        <w:szCs w:val="20"/>
      </w:rPr>
      <w:t xml:space="preserve">is </w:t>
    </w:r>
    <w:r w:rsidR="00786253" w:rsidRPr="00786253">
      <w:rPr>
        <w:rFonts w:asciiTheme="minorHAnsi" w:hAnsiTheme="minorHAnsi" w:cstheme="minorHAnsi"/>
        <w:bCs/>
        <w:color w:val="000000"/>
        <w:sz w:val="20"/>
        <w:szCs w:val="20"/>
      </w:rPr>
      <w:t xml:space="preserve">available at </w:t>
    </w:r>
    <w:hyperlink r:id="rId1" w:history="1">
      <w:r w:rsidR="00786253" w:rsidRPr="00786253">
        <w:rPr>
          <w:rStyle w:val="Hyperlink"/>
          <w:rFonts w:asciiTheme="minorHAnsi" w:hAnsiTheme="minorHAnsi" w:cstheme="minorHAnsi"/>
          <w:bCs/>
          <w:color w:val="237990"/>
          <w:sz w:val="20"/>
          <w:szCs w:val="20"/>
        </w:rPr>
        <w:t>http://pdf.usaid.gov/pdf_docs/Pnadd540.pdf</w:t>
      </w:r>
    </w:hyperlink>
    <w:r w:rsidRPr="00786253">
      <w:rPr>
        <w:rFonts w:asciiTheme="minorHAnsi" w:hAnsiTheme="minorHAnsi" w:cstheme="minorHAnsi"/>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5CF5"/>
    <w:rsid w:val="00000C2C"/>
    <w:rsid w:val="00001216"/>
    <w:rsid w:val="000012C3"/>
    <w:rsid w:val="00001C32"/>
    <w:rsid w:val="00001F48"/>
    <w:rsid w:val="00002125"/>
    <w:rsid w:val="00002230"/>
    <w:rsid w:val="00002342"/>
    <w:rsid w:val="00002A8D"/>
    <w:rsid w:val="000030BF"/>
    <w:rsid w:val="00003671"/>
    <w:rsid w:val="00003FFC"/>
    <w:rsid w:val="00005770"/>
    <w:rsid w:val="000059A4"/>
    <w:rsid w:val="0000780A"/>
    <w:rsid w:val="00010EE1"/>
    <w:rsid w:val="00011082"/>
    <w:rsid w:val="00012A93"/>
    <w:rsid w:val="000134FF"/>
    <w:rsid w:val="00013692"/>
    <w:rsid w:val="00013C5B"/>
    <w:rsid w:val="00013DBC"/>
    <w:rsid w:val="00014A19"/>
    <w:rsid w:val="00014C94"/>
    <w:rsid w:val="00014D41"/>
    <w:rsid w:val="000156E8"/>
    <w:rsid w:val="00015E67"/>
    <w:rsid w:val="00016551"/>
    <w:rsid w:val="000168E7"/>
    <w:rsid w:val="000175AA"/>
    <w:rsid w:val="00020536"/>
    <w:rsid w:val="00020887"/>
    <w:rsid w:val="00022010"/>
    <w:rsid w:val="00022515"/>
    <w:rsid w:val="0002265F"/>
    <w:rsid w:val="00022AF2"/>
    <w:rsid w:val="00023051"/>
    <w:rsid w:val="000242E7"/>
    <w:rsid w:val="00024615"/>
    <w:rsid w:val="00025E17"/>
    <w:rsid w:val="0002790B"/>
    <w:rsid w:val="000306A4"/>
    <w:rsid w:val="000308D5"/>
    <w:rsid w:val="0003110D"/>
    <w:rsid w:val="00031846"/>
    <w:rsid w:val="000319FC"/>
    <w:rsid w:val="00031FFE"/>
    <w:rsid w:val="0003231F"/>
    <w:rsid w:val="000325C6"/>
    <w:rsid w:val="00032889"/>
    <w:rsid w:val="00032E88"/>
    <w:rsid w:val="00033867"/>
    <w:rsid w:val="00033F00"/>
    <w:rsid w:val="00034239"/>
    <w:rsid w:val="00036201"/>
    <w:rsid w:val="00036532"/>
    <w:rsid w:val="000367C1"/>
    <w:rsid w:val="00036AAB"/>
    <w:rsid w:val="00037171"/>
    <w:rsid w:val="00037DCB"/>
    <w:rsid w:val="000403D2"/>
    <w:rsid w:val="00040EA1"/>
    <w:rsid w:val="00041DE0"/>
    <w:rsid w:val="00044382"/>
    <w:rsid w:val="000446EF"/>
    <w:rsid w:val="000457FC"/>
    <w:rsid w:val="00045A96"/>
    <w:rsid w:val="000462C2"/>
    <w:rsid w:val="00046491"/>
    <w:rsid w:val="000468F7"/>
    <w:rsid w:val="00047FC2"/>
    <w:rsid w:val="00050D63"/>
    <w:rsid w:val="00050F7B"/>
    <w:rsid w:val="00051806"/>
    <w:rsid w:val="00051AAE"/>
    <w:rsid w:val="00051BEF"/>
    <w:rsid w:val="00053245"/>
    <w:rsid w:val="0005398F"/>
    <w:rsid w:val="000539BA"/>
    <w:rsid w:val="0005414F"/>
    <w:rsid w:val="00054D8F"/>
    <w:rsid w:val="000550D5"/>
    <w:rsid w:val="000551D8"/>
    <w:rsid w:val="00055269"/>
    <w:rsid w:val="0005636C"/>
    <w:rsid w:val="00056A1D"/>
    <w:rsid w:val="00056EE1"/>
    <w:rsid w:val="00057375"/>
    <w:rsid w:val="00057A3B"/>
    <w:rsid w:val="000600BA"/>
    <w:rsid w:val="00060862"/>
    <w:rsid w:val="00060B18"/>
    <w:rsid w:val="00062F90"/>
    <w:rsid w:val="000647B7"/>
    <w:rsid w:val="00065A02"/>
    <w:rsid w:val="000660F2"/>
    <w:rsid w:val="00070D9B"/>
    <w:rsid w:val="00070FA7"/>
    <w:rsid w:val="000717CA"/>
    <w:rsid w:val="000725AB"/>
    <w:rsid w:val="000733C8"/>
    <w:rsid w:val="000733F9"/>
    <w:rsid w:val="000736D6"/>
    <w:rsid w:val="00073DE4"/>
    <w:rsid w:val="000747B1"/>
    <w:rsid w:val="00074EEA"/>
    <w:rsid w:val="000750E3"/>
    <w:rsid w:val="000750FC"/>
    <w:rsid w:val="000751E4"/>
    <w:rsid w:val="0007531D"/>
    <w:rsid w:val="000757FE"/>
    <w:rsid w:val="00076267"/>
    <w:rsid w:val="00076B6F"/>
    <w:rsid w:val="00077DF0"/>
    <w:rsid w:val="00080205"/>
    <w:rsid w:val="00080378"/>
    <w:rsid w:val="000809BB"/>
    <w:rsid w:val="000809D1"/>
    <w:rsid w:val="00080A39"/>
    <w:rsid w:val="000814F1"/>
    <w:rsid w:val="00081922"/>
    <w:rsid w:val="00081CF7"/>
    <w:rsid w:val="000821CF"/>
    <w:rsid w:val="000839DE"/>
    <w:rsid w:val="00083B14"/>
    <w:rsid w:val="00083E9F"/>
    <w:rsid w:val="00084E0C"/>
    <w:rsid w:val="00084EA2"/>
    <w:rsid w:val="000858E9"/>
    <w:rsid w:val="000879CB"/>
    <w:rsid w:val="000905DA"/>
    <w:rsid w:val="00090BEC"/>
    <w:rsid w:val="0009113B"/>
    <w:rsid w:val="00091443"/>
    <w:rsid w:val="00091CCC"/>
    <w:rsid w:val="00091E5C"/>
    <w:rsid w:val="000925B6"/>
    <w:rsid w:val="00092BC8"/>
    <w:rsid w:val="00093480"/>
    <w:rsid w:val="00093807"/>
    <w:rsid w:val="00093D87"/>
    <w:rsid w:val="0009624E"/>
    <w:rsid w:val="000965D5"/>
    <w:rsid w:val="0009699D"/>
    <w:rsid w:val="000969E3"/>
    <w:rsid w:val="00096C4A"/>
    <w:rsid w:val="00096F2C"/>
    <w:rsid w:val="000970AF"/>
    <w:rsid w:val="000972F6"/>
    <w:rsid w:val="0009791A"/>
    <w:rsid w:val="000A05FD"/>
    <w:rsid w:val="000A09DF"/>
    <w:rsid w:val="000A0E4B"/>
    <w:rsid w:val="000A13B9"/>
    <w:rsid w:val="000A1710"/>
    <w:rsid w:val="000A43EB"/>
    <w:rsid w:val="000A537A"/>
    <w:rsid w:val="000A6F20"/>
    <w:rsid w:val="000A7631"/>
    <w:rsid w:val="000B0C13"/>
    <w:rsid w:val="000B0CF4"/>
    <w:rsid w:val="000B10A0"/>
    <w:rsid w:val="000B18EC"/>
    <w:rsid w:val="000B2140"/>
    <w:rsid w:val="000B2CC2"/>
    <w:rsid w:val="000B351D"/>
    <w:rsid w:val="000B37C5"/>
    <w:rsid w:val="000B3BF4"/>
    <w:rsid w:val="000B3D04"/>
    <w:rsid w:val="000B4986"/>
    <w:rsid w:val="000B50CC"/>
    <w:rsid w:val="000B64C3"/>
    <w:rsid w:val="000B6688"/>
    <w:rsid w:val="000B74C4"/>
    <w:rsid w:val="000B76F7"/>
    <w:rsid w:val="000B7F5F"/>
    <w:rsid w:val="000C0CA4"/>
    <w:rsid w:val="000C1BBA"/>
    <w:rsid w:val="000C26B0"/>
    <w:rsid w:val="000C2CDA"/>
    <w:rsid w:val="000C340A"/>
    <w:rsid w:val="000C34BA"/>
    <w:rsid w:val="000C355D"/>
    <w:rsid w:val="000C40E9"/>
    <w:rsid w:val="000C4954"/>
    <w:rsid w:val="000C4E0E"/>
    <w:rsid w:val="000C59C8"/>
    <w:rsid w:val="000C5F0B"/>
    <w:rsid w:val="000C792A"/>
    <w:rsid w:val="000C7F5A"/>
    <w:rsid w:val="000D15FD"/>
    <w:rsid w:val="000D1BFC"/>
    <w:rsid w:val="000D1C65"/>
    <w:rsid w:val="000D224E"/>
    <w:rsid w:val="000D24B1"/>
    <w:rsid w:val="000D295B"/>
    <w:rsid w:val="000D2C65"/>
    <w:rsid w:val="000D37D2"/>
    <w:rsid w:val="000D52C0"/>
    <w:rsid w:val="000D5D54"/>
    <w:rsid w:val="000D674A"/>
    <w:rsid w:val="000D6D15"/>
    <w:rsid w:val="000D7893"/>
    <w:rsid w:val="000E04F8"/>
    <w:rsid w:val="000E098F"/>
    <w:rsid w:val="000E198E"/>
    <w:rsid w:val="000E26FC"/>
    <w:rsid w:val="000E2AD1"/>
    <w:rsid w:val="000E3BEF"/>
    <w:rsid w:val="000E47AD"/>
    <w:rsid w:val="000E47AF"/>
    <w:rsid w:val="000E5568"/>
    <w:rsid w:val="000E5A3A"/>
    <w:rsid w:val="000E6075"/>
    <w:rsid w:val="000E6216"/>
    <w:rsid w:val="000E6EE0"/>
    <w:rsid w:val="000E7EE7"/>
    <w:rsid w:val="000F0FD2"/>
    <w:rsid w:val="000F1230"/>
    <w:rsid w:val="000F1A5B"/>
    <w:rsid w:val="000F1B9C"/>
    <w:rsid w:val="000F2279"/>
    <w:rsid w:val="000F2312"/>
    <w:rsid w:val="000F3BEB"/>
    <w:rsid w:val="000F3C42"/>
    <w:rsid w:val="000F48C6"/>
    <w:rsid w:val="000F5559"/>
    <w:rsid w:val="000F6623"/>
    <w:rsid w:val="000F663B"/>
    <w:rsid w:val="000F6CB3"/>
    <w:rsid w:val="000F6CE2"/>
    <w:rsid w:val="000F735D"/>
    <w:rsid w:val="00100136"/>
    <w:rsid w:val="0010063E"/>
    <w:rsid w:val="00100FBE"/>
    <w:rsid w:val="00101B6A"/>
    <w:rsid w:val="00102311"/>
    <w:rsid w:val="00104878"/>
    <w:rsid w:val="0010691F"/>
    <w:rsid w:val="00107A8D"/>
    <w:rsid w:val="00107FBC"/>
    <w:rsid w:val="00110B57"/>
    <w:rsid w:val="00110D68"/>
    <w:rsid w:val="00111206"/>
    <w:rsid w:val="00111FB1"/>
    <w:rsid w:val="00113831"/>
    <w:rsid w:val="0011399D"/>
    <w:rsid w:val="00113B75"/>
    <w:rsid w:val="001149F2"/>
    <w:rsid w:val="00114ABA"/>
    <w:rsid w:val="001151B8"/>
    <w:rsid w:val="00115388"/>
    <w:rsid w:val="0011625A"/>
    <w:rsid w:val="00116476"/>
    <w:rsid w:val="00116F0B"/>
    <w:rsid w:val="00117879"/>
    <w:rsid w:val="00120323"/>
    <w:rsid w:val="001205DE"/>
    <w:rsid w:val="00120E8A"/>
    <w:rsid w:val="001214B2"/>
    <w:rsid w:val="00121774"/>
    <w:rsid w:val="001219CF"/>
    <w:rsid w:val="00121E90"/>
    <w:rsid w:val="00124CEF"/>
    <w:rsid w:val="00124E3E"/>
    <w:rsid w:val="00125998"/>
    <w:rsid w:val="00125FB5"/>
    <w:rsid w:val="001261C7"/>
    <w:rsid w:val="00126B9C"/>
    <w:rsid w:val="00126CC3"/>
    <w:rsid w:val="00127117"/>
    <w:rsid w:val="0012761E"/>
    <w:rsid w:val="0012768D"/>
    <w:rsid w:val="00127C36"/>
    <w:rsid w:val="00127E84"/>
    <w:rsid w:val="0013150A"/>
    <w:rsid w:val="001323B0"/>
    <w:rsid w:val="00132A1E"/>
    <w:rsid w:val="00133026"/>
    <w:rsid w:val="0013346C"/>
    <w:rsid w:val="0013366A"/>
    <w:rsid w:val="00134B1F"/>
    <w:rsid w:val="00135F5A"/>
    <w:rsid w:val="001375A4"/>
    <w:rsid w:val="0013799E"/>
    <w:rsid w:val="0014124B"/>
    <w:rsid w:val="001417E8"/>
    <w:rsid w:val="00141F72"/>
    <w:rsid w:val="00142FB8"/>
    <w:rsid w:val="00143A07"/>
    <w:rsid w:val="00143A43"/>
    <w:rsid w:val="001442F2"/>
    <w:rsid w:val="001443E5"/>
    <w:rsid w:val="00144928"/>
    <w:rsid w:val="0014498F"/>
    <w:rsid w:val="001461EA"/>
    <w:rsid w:val="001462EB"/>
    <w:rsid w:val="0014654B"/>
    <w:rsid w:val="001465B7"/>
    <w:rsid w:val="00146969"/>
    <w:rsid w:val="00146A07"/>
    <w:rsid w:val="00147CF0"/>
    <w:rsid w:val="0015000A"/>
    <w:rsid w:val="00150200"/>
    <w:rsid w:val="00150846"/>
    <w:rsid w:val="00150C93"/>
    <w:rsid w:val="00150FA2"/>
    <w:rsid w:val="00151324"/>
    <w:rsid w:val="00151587"/>
    <w:rsid w:val="001517EA"/>
    <w:rsid w:val="001519D1"/>
    <w:rsid w:val="00151C3D"/>
    <w:rsid w:val="0015268A"/>
    <w:rsid w:val="00153918"/>
    <w:rsid w:val="00153A74"/>
    <w:rsid w:val="001541DF"/>
    <w:rsid w:val="00154FC0"/>
    <w:rsid w:val="00155E61"/>
    <w:rsid w:val="00155F41"/>
    <w:rsid w:val="001564DA"/>
    <w:rsid w:val="00156C9F"/>
    <w:rsid w:val="00156E05"/>
    <w:rsid w:val="00157D16"/>
    <w:rsid w:val="0016003E"/>
    <w:rsid w:val="00160106"/>
    <w:rsid w:val="00160407"/>
    <w:rsid w:val="001606E5"/>
    <w:rsid w:val="001607C4"/>
    <w:rsid w:val="00160BBA"/>
    <w:rsid w:val="00161BE2"/>
    <w:rsid w:val="00161DFD"/>
    <w:rsid w:val="00161E43"/>
    <w:rsid w:val="001626A3"/>
    <w:rsid w:val="00163467"/>
    <w:rsid w:val="00163B22"/>
    <w:rsid w:val="00164531"/>
    <w:rsid w:val="001647BA"/>
    <w:rsid w:val="00165F57"/>
    <w:rsid w:val="001662D9"/>
    <w:rsid w:val="0016759F"/>
    <w:rsid w:val="0016797D"/>
    <w:rsid w:val="001700AA"/>
    <w:rsid w:val="00170A27"/>
    <w:rsid w:val="001711E4"/>
    <w:rsid w:val="00171BAF"/>
    <w:rsid w:val="00171D79"/>
    <w:rsid w:val="00171DCD"/>
    <w:rsid w:val="00171F65"/>
    <w:rsid w:val="00172649"/>
    <w:rsid w:val="00172DFA"/>
    <w:rsid w:val="0017363E"/>
    <w:rsid w:val="001742D6"/>
    <w:rsid w:val="00175558"/>
    <w:rsid w:val="00176EBE"/>
    <w:rsid w:val="00177D0B"/>
    <w:rsid w:val="001805BA"/>
    <w:rsid w:val="00180AF0"/>
    <w:rsid w:val="00180B8F"/>
    <w:rsid w:val="001813E8"/>
    <w:rsid w:val="001815FB"/>
    <w:rsid w:val="00181B12"/>
    <w:rsid w:val="00182ACF"/>
    <w:rsid w:val="00182BFC"/>
    <w:rsid w:val="00182ED7"/>
    <w:rsid w:val="00183424"/>
    <w:rsid w:val="00183F03"/>
    <w:rsid w:val="0018404A"/>
    <w:rsid w:val="001850DD"/>
    <w:rsid w:val="00185229"/>
    <w:rsid w:val="00185CA3"/>
    <w:rsid w:val="001867EE"/>
    <w:rsid w:val="00186A4C"/>
    <w:rsid w:val="0018714F"/>
    <w:rsid w:val="00187A6F"/>
    <w:rsid w:val="00187DAF"/>
    <w:rsid w:val="001906DD"/>
    <w:rsid w:val="00190901"/>
    <w:rsid w:val="00190D83"/>
    <w:rsid w:val="00190E24"/>
    <w:rsid w:val="001918D0"/>
    <w:rsid w:val="00191BFC"/>
    <w:rsid w:val="001920FB"/>
    <w:rsid w:val="00192130"/>
    <w:rsid w:val="00193700"/>
    <w:rsid w:val="001938DC"/>
    <w:rsid w:val="001944A5"/>
    <w:rsid w:val="00194917"/>
    <w:rsid w:val="00194C84"/>
    <w:rsid w:val="00194FCF"/>
    <w:rsid w:val="00195234"/>
    <w:rsid w:val="00195408"/>
    <w:rsid w:val="001974CB"/>
    <w:rsid w:val="00197DD4"/>
    <w:rsid w:val="00197E23"/>
    <w:rsid w:val="001A06D0"/>
    <w:rsid w:val="001A0C33"/>
    <w:rsid w:val="001A0DC4"/>
    <w:rsid w:val="001A1EE6"/>
    <w:rsid w:val="001A26A5"/>
    <w:rsid w:val="001A2731"/>
    <w:rsid w:val="001A27B4"/>
    <w:rsid w:val="001A28D3"/>
    <w:rsid w:val="001A3F6E"/>
    <w:rsid w:val="001A3FF2"/>
    <w:rsid w:val="001A468A"/>
    <w:rsid w:val="001A4816"/>
    <w:rsid w:val="001A4822"/>
    <w:rsid w:val="001A4961"/>
    <w:rsid w:val="001A4D80"/>
    <w:rsid w:val="001A4F68"/>
    <w:rsid w:val="001A4FBF"/>
    <w:rsid w:val="001A682C"/>
    <w:rsid w:val="001A7545"/>
    <w:rsid w:val="001B007C"/>
    <w:rsid w:val="001B0818"/>
    <w:rsid w:val="001B224D"/>
    <w:rsid w:val="001B300A"/>
    <w:rsid w:val="001B31CD"/>
    <w:rsid w:val="001B3896"/>
    <w:rsid w:val="001B42E9"/>
    <w:rsid w:val="001B43DC"/>
    <w:rsid w:val="001B699C"/>
    <w:rsid w:val="001B7E04"/>
    <w:rsid w:val="001C021E"/>
    <w:rsid w:val="001C0E7C"/>
    <w:rsid w:val="001C1F94"/>
    <w:rsid w:val="001C302B"/>
    <w:rsid w:val="001C32A4"/>
    <w:rsid w:val="001C3744"/>
    <w:rsid w:val="001C37AD"/>
    <w:rsid w:val="001C37EC"/>
    <w:rsid w:val="001C3D52"/>
    <w:rsid w:val="001C416A"/>
    <w:rsid w:val="001C464D"/>
    <w:rsid w:val="001C5846"/>
    <w:rsid w:val="001C6DF5"/>
    <w:rsid w:val="001C6E40"/>
    <w:rsid w:val="001C7B32"/>
    <w:rsid w:val="001C7BBE"/>
    <w:rsid w:val="001D0219"/>
    <w:rsid w:val="001D137C"/>
    <w:rsid w:val="001D15A7"/>
    <w:rsid w:val="001D1B4E"/>
    <w:rsid w:val="001D2AE0"/>
    <w:rsid w:val="001D30E3"/>
    <w:rsid w:val="001D3225"/>
    <w:rsid w:val="001D3360"/>
    <w:rsid w:val="001D3678"/>
    <w:rsid w:val="001D384A"/>
    <w:rsid w:val="001D3FDB"/>
    <w:rsid w:val="001D497A"/>
    <w:rsid w:val="001D4D94"/>
    <w:rsid w:val="001D5A71"/>
    <w:rsid w:val="001D5CE9"/>
    <w:rsid w:val="001D6928"/>
    <w:rsid w:val="001D6C78"/>
    <w:rsid w:val="001D6E3C"/>
    <w:rsid w:val="001D70BD"/>
    <w:rsid w:val="001D749C"/>
    <w:rsid w:val="001D77DB"/>
    <w:rsid w:val="001E050D"/>
    <w:rsid w:val="001E05F1"/>
    <w:rsid w:val="001E1273"/>
    <w:rsid w:val="001E185B"/>
    <w:rsid w:val="001E45BF"/>
    <w:rsid w:val="001E4A62"/>
    <w:rsid w:val="001E57B8"/>
    <w:rsid w:val="001E63DE"/>
    <w:rsid w:val="001E64B5"/>
    <w:rsid w:val="001E65DA"/>
    <w:rsid w:val="001E720C"/>
    <w:rsid w:val="001F0304"/>
    <w:rsid w:val="001F135F"/>
    <w:rsid w:val="001F15D6"/>
    <w:rsid w:val="001F1602"/>
    <w:rsid w:val="001F25C8"/>
    <w:rsid w:val="001F2FF8"/>
    <w:rsid w:val="001F3515"/>
    <w:rsid w:val="001F355A"/>
    <w:rsid w:val="001F3C89"/>
    <w:rsid w:val="001F425A"/>
    <w:rsid w:val="001F45BB"/>
    <w:rsid w:val="001F4644"/>
    <w:rsid w:val="001F4B94"/>
    <w:rsid w:val="001F4E8F"/>
    <w:rsid w:val="001F56C0"/>
    <w:rsid w:val="001F5CC9"/>
    <w:rsid w:val="001F5EED"/>
    <w:rsid w:val="001F6DEC"/>
    <w:rsid w:val="001F79EE"/>
    <w:rsid w:val="00200192"/>
    <w:rsid w:val="002006D4"/>
    <w:rsid w:val="0020153D"/>
    <w:rsid w:val="00201EFD"/>
    <w:rsid w:val="00202220"/>
    <w:rsid w:val="0020279E"/>
    <w:rsid w:val="00202918"/>
    <w:rsid w:val="00203CB9"/>
    <w:rsid w:val="00203CD9"/>
    <w:rsid w:val="002041BA"/>
    <w:rsid w:val="00204D8F"/>
    <w:rsid w:val="00204DF7"/>
    <w:rsid w:val="00205429"/>
    <w:rsid w:val="00205AED"/>
    <w:rsid w:val="00205B4B"/>
    <w:rsid w:val="00205C32"/>
    <w:rsid w:val="00207CE7"/>
    <w:rsid w:val="00210055"/>
    <w:rsid w:val="00210198"/>
    <w:rsid w:val="00210A00"/>
    <w:rsid w:val="00210F5E"/>
    <w:rsid w:val="002118CA"/>
    <w:rsid w:val="00211A65"/>
    <w:rsid w:val="002124B3"/>
    <w:rsid w:val="002132B0"/>
    <w:rsid w:val="0021395A"/>
    <w:rsid w:val="00213F93"/>
    <w:rsid w:val="00214234"/>
    <w:rsid w:val="002152D4"/>
    <w:rsid w:val="002153E4"/>
    <w:rsid w:val="00216754"/>
    <w:rsid w:val="002171A0"/>
    <w:rsid w:val="00217224"/>
    <w:rsid w:val="0021775B"/>
    <w:rsid w:val="00217D77"/>
    <w:rsid w:val="002207A7"/>
    <w:rsid w:val="002208DE"/>
    <w:rsid w:val="00221378"/>
    <w:rsid w:val="002215E6"/>
    <w:rsid w:val="00221C00"/>
    <w:rsid w:val="00221D91"/>
    <w:rsid w:val="00222E4B"/>
    <w:rsid w:val="00222E9A"/>
    <w:rsid w:val="002231D9"/>
    <w:rsid w:val="00223625"/>
    <w:rsid w:val="002238EF"/>
    <w:rsid w:val="00223FA1"/>
    <w:rsid w:val="002247DA"/>
    <w:rsid w:val="00224E13"/>
    <w:rsid w:val="00224F25"/>
    <w:rsid w:val="002256B1"/>
    <w:rsid w:val="0022575A"/>
    <w:rsid w:val="00225DC9"/>
    <w:rsid w:val="00226C25"/>
    <w:rsid w:val="00227726"/>
    <w:rsid w:val="00227BAC"/>
    <w:rsid w:val="00230250"/>
    <w:rsid w:val="0023044D"/>
    <w:rsid w:val="00231D7B"/>
    <w:rsid w:val="00231F33"/>
    <w:rsid w:val="00231FC4"/>
    <w:rsid w:val="0023310D"/>
    <w:rsid w:val="00233284"/>
    <w:rsid w:val="00233FC6"/>
    <w:rsid w:val="00234098"/>
    <w:rsid w:val="0023492A"/>
    <w:rsid w:val="002349F1"/>
    <w:rsid w:val="00235107"/>
    <w:rsid w:val="00235229"/>
    <w:rsid w:val="00236A69"/>
    <w:rsid w:val="0023732C"/>
    <w:rsid w:val="002401B8"/>
    <w:rsid w:val="002404E0"/>
    <w:rsid w:val="002405AF"/>
    <w:rsid w:val="00240EBB"/>
    <w:rsid w:val="0024184B"/>
    <w:rsid w:val="00242180"/>
    <w:rsid w:val="002436DD"/>
    <w:rsid w:val="002451E6"/>
    <w:rsid w:val="00246AA2"/>
    <w:rsid w:val="00246E30"/>
    <w:rsid w:val="00246EB6"/>
    <w:rsid w:val="00246F3F"/>
    <w:rsid w:val="002472B6"/>
    <w:rsid w:val="0024792C"/>
    <w:rsid w:val="002502B0"/>
    <w:rsid w:val="002507AC"/>
    <w:rsid w:val="00250DDB"/>
    <w:rsid w:val="0025102F"/>
    <w:rsid w:val="00251222"/>
    <w:rsid w:val="002535E6"/>
    <w:rsid w:val="00254A68"/>
    <w:rsid w:val="00254EDD"/>
    <w:rsid w:val="002552F0"/>
    <w:rsid w:val="002566CF"/>
    <w:rsid w:val="00256977"/>
    <w:rsid w:val="00256AA8"/>
    <w:rsid w:val="00257A8C"/>
    <w:rsid w:val="00257CC6"/>
    <w:rsid w:val="00260378"/>
    <w:rsid w:val="00260458"/>
    <w:rsid w:val="00260E57"/>
    <w:rsid w:val="00261279"/>
    <w:rsid w:val="0026192C"/>
    <w:rsid w:val="00262DDC"/>
    <w:rsid w:val="00262E01"/>
    <w:rsid w:val="00264983"/>
    <w:rsid w:val="0026663E"/>
    <w:rsid w:val="00267C15"/>
    <w:rsid w:val="00267CFC"/>
    <w:rsid w:val="0027025B"/>
    <w:rsid w:val="0027053A"/>
    <w:rsid w:val="002706C8"/>
    <w:rsid w:val="00272BFF"/>
    <w:rsid w:val="00272E34"/>
    <w:rsid w:val="00274034"/>
    <w:rsid w:val="002750A1"/>
    <w:rsid w:val="002753C9"/>
    <w:rsid w:val="00275E26"/>
    <w:rsid w:val="00276016"/>
    <w:rsid w:val="0027675D"/>
    <w:rsid w:val="00277759"/>
    <w:rsid w:val="00277B72"/>
    <w:rsid w:val="0028025B"/>
    <w:rsid w:val="0028065E"/>
    <w:rsid w:val="0028117B"/>
    <w:rsid w:val="0028135F"/>
    <w:rsid w:val="002813F8"/>
    <w:rsid w:val="002815D7"/>
    <w:rsid w:val="002820BC"/>
    <w:rsid w:val="00282358"/>
    <w:rsid w:val="00284230"/>
    <w:rsid w:val="00284570"/>
    <w:rsid w:val="0028471A"/>
    <w:rsid w:val="00284B05"/>
    <w:rsid w:val="00284EDA"/>
    <w:rsid w:val="00285298"/>
    <w:rsid w:val="002860FF"/>
    <w:rsid w:val="00286586"/>
    <w:rsid w:val="00287957"/>
    <w:rsid w:val="00290A74"/>
    <w:rsid w:val="00290DE3"/>
    <w:rsid w:val="00291B04"/>
    <w:rsid w:val="00291D4F"/>
    <w:rsid w:val="002921F1"/>
    <w:rsid w:val="00292726"/>
    <w:rsid w:val="00293259"/>
    <w:rsid w:val="002932BD"/>
    <w:rsid w:val="00293FD0"/>
    <w:rsid w:val="0029443B"/>
    <w:rsid w:val="00294DAA"/>
    <w:rsid w:val="00295701"/>
    <w:rsid w:val="00295E32"/>
    <w:rsid w:val="00296EFD"/>
    <w:rsid w:val="00297363"/>
    <w:rsid w:val="00297C06"/>
    <w:rsid w:val="002A0424"/>
    <w:rsid w:val="002A1478"/>
    <w:rsid w:val="002A1A88"/>
    <w:rsid w:val="002A1C76"/>
    <w:rsid w:val="002A1CA9"/>
    <w:rsid w:val="002A2D2E"/>
    <w:rsid w:val="002A3081"/>
    <w:rsid w:val="002A36E3"/>
    <w:rsid w:val="002A3C84"/>
    <w:rsid w:val="002A5390"/>
    <w:rsid w:val="002A580C"/>
    <w:rsid w:val="002A59B3"/>
    <w:rsid w:val="002A60EF"/>
    <w:rsid w:val="002A696D"/>
    <w:rsid w:val="002A7870"/>
    <w:rsid w:val="002A787C"/>
    <w:rsid w:val="002A7B23"/>
    <w:rsid w:val="002B06A1"/>
    <w:rsid w:val="002B07CC"/>
    <w:rsid w:val="002B0F76"/>
    <w:rsid w:val="002B1112"/>
    <w:rsid w:val="002B3317"/>
    <w:rsid w:val="002B34EF"/>
    <w:rsid w:val="002B35FB"/>
    <w:rsid w:val="002B4343"/>
    <w:rsid w:val="002B47B2"/>
    <w:rsid w:val="002B4BB1"/>
    <w:rsid w:val="002B5136"/>
    <w:rsid w:val="002B6645"/>
    <w:rsid w:val="002B6BFA"/>
    <w:rsid w:val="002B6FEF"/>
    <w:rsid w:val="002C0346"/>
    <w:rsid w:val="002C0A1C"/>
    <w:rsid w:val="002C0FAF"/>
    <w:rsid w:val="002C1A42"/>
    <w:rsid w:val="002C1BEC"/>
    <w:rsid w:val="002C2ED1"/>
    <w:rsid w:val="002C3827"/>
    <w:rsid w:val="002C3A29"/>
    <w:rsid w:val="002C3B6D"/>
    <w:rsid w:val="002C3FAC"/>
    <w:rsid w:val="002C4256"/>
    <w:rsid w:val="002C4E0B"/>
    <w:rsid w:val="002C5230"/>
    <w:rsid w:val="002C5254"/>
    <w:rsid w:val="002C7C22"/>
    <w:rsid w:val="002D1671"/>
    <w:rsid w:val="002D1740"/>
    <w:rsid w:val="002D1747"/>
    <w:rsid w:val="002D2A3D"/>
    <w:rsid w:val="002D2FA5"/>
    <w:rsid w:val="002D30E3"/>
    <w:rsid w:val="002D331B"/>
    <w:rsid w:val="002D335F"/>
    <w:rsid w:val="002D3B0B"/>
    <w:rsid w:val="002D3C62"/>
    <w:rsid w:val="002D3DCA"/>
    <w:rsid w:val="002D4BA6"/>
    <w:rsid w:val="002D5026"/>
    <w:rsid w:val="002D5067"/>
    <w:rsid w:val="002D5A48"/>
    <w:rsid w:val="002D5D26"/>
    <w:rsid w:val="002D6172"/>
    <w:rsid w:val="002D64A7"/>
    <w:rsid w:val="002D6641"/>
    <w:rsid w:val="002D7117"/>
    <w:rsid w:val="002D7296"/>
    <w:rsid w:val="002D7F2A"/>
    <w:rsid w:val="002E0632"/>
    <w:rsid w:val="002E073A"/>
    <w:rsid w:val="002E0C7F"/>
    <w:rsid w:val="002E1097"/>
    <w:rsid w:val="002E168D"/>
    <w:rsid w:val="002E1CA8"/>
    <w:rsid w:val="002E1F1F"/>
    <w:rsid w:val="002E2063"/>
    <w:rsid w:val="002E21BF"/>
    <w:rsid w:val="002E2242"/>
    <w:rsid w:val="002E290B"/>
    <w:rsid w:val="002E2911"/>
    <w:rsid w:val="002E39B7"/>
    <w:rsid w:val="002E4485"/>
    <w:rsid w:val="002E44C2"/>
    <w:rsid w:val="002E4517"/>
    <w:rsid w:val="002E49D3"/>
    <w:rsid w:val="002E4E2B"/>
    <w:rsid w:val="002E4E37"/>
    <w:rsid w:val="002E7241"/>
    <w:rsid w:val="002E7332"/>
    <w:rsid w:val="002E76F8"/>
    <w:rsid w:val="002F107E"/>
    <w:rsid w:val="002F1A15"/>
    <w:rsid w:val="002F1BD7"/>
    <w:rsid w:val="002F1DD2"/>
    <w:rsid w:val="002F200A"/>
    <w:rsid w:val="002F2160"/>
    <w:rsid w:val="002F25B8"/>
    <w:rsid w:val="002F2671"/>
    <w:rsid w:val="002F2747"/>
    <w:rsid w:val="002F2FF6"/>
    <w:rsid w:val="002F322E"/>
    <w:rsid w:val="002F3BFB"/>
    <w:rsid w:val="002F41F1"/>
    <w:rsid w:val="002F4EF7"/>
    <w:rsid w:val="002F5F7B"/>
    <w:rsid w:val="002F604D"/>
    <w:rsid w:val="002F75D1"/>
    <w:rsid w:val="002F7CF5"/>
    <w:rsid w:val="003004C8"/>
    <w:rsid w:val="00300E2B"/>
    <w:rsid w:val="00301180"/>
    <w:rsid w:val="0030179A"/>
    <w:rsid w:val="00303CB6"/>
    <w:rsid w:val="0030403E"/>
    <w:rsid w:val="00304A32"/>
    <w:rsid w:val="00304CDF"/>
    <w:rsid w:val="00304FB5"/>
    <w:rsid w:val="00305386"/>
    <w:rsid w:val="00305874"/>
    <w:rsid w:val="00305DC7"/>
    <w:rsid w:val="00306293"/>
    <w:rsid w:val="0030657F"/>
    <w:rsid w:val="0030705F"/>
    <w:rsid w:val="003070BE"/>
    <w:rsid w:val="0030769F"/>
    <w:rsid w:val="003076FD"/>
    <w:rsid w:val="00307B90"/>
    <w:rsid w:val="00307DF5"/>
    <w:rsid w:val="00307FD6"/>
    <w:rsid w:val="00310552"/>
    <w:rsid w:val="00310C73"/>
    <w:rsid w:val="003110BE"/>
    <w:rsid w:val="003114D0"/>
    <w:rsid w:val="00311581"/>
    <w:rsid w:val="00311853"/>
    <w:rsid w:val="0031264E"/>
    <w:rsid w:val="00312A52"/>
    <w:rsid w:val="003131AC"/>
    <w:rsid w:val="00313BAE"/>
    <w:rsid w:val="0031459F"/>
    <w:rsid w:val="00314680"/>
    <w:rsid w:val="0031476F"/>
    <w:rsid w:val="00314B81"/>
    <w:rsid w:val="00314DF6"/>
    <w:rsid w:val="00315259"/>
    <w:rsid w:val="00316040"/>
    <w:rsid w:val="00316371"/>
    <w:rsid w:val="003164CD"/>
    <w:rsid w:val="00316618"/>
    <w:rsid w:val="00322772"/>
    <w:rsid w:val="00322B3F"/>
    <w:rsid w:val="00322CF7"/>
    <w:rsid w:val="00323A1C"/>
    <w:rsid w:val="00324487"/>
    <w:rsid w:val="00324900"/>
    <w:rsid w:val="00325C41"/>
    <w:rsid w:val="003263B1"/>
    <w:rsid w:val="00326746"/>
    <w:rsid w:val="0032757F"/>
    <w:rsid w:val="003278C0"/>
    <w:rsid w:val="003279A0"/>
    <w:rsid w:val="00327AD3"/>
    <w:rsid w:val="00327C1F"/>
    <w:rsid w:val="003307CF"/>
    <w:rsid w:val="003309B7"/>
    <w:rsid w:val="00330A27"/>
    <w:rsid w:val="00330E8C"/>
    <w:rsid w:val="00331239"/>
    <w:rsid w:val="003318D8"/>
    <w:rsid w:val="00331A74"/>
    <w:rsid w:val="00331B07"/>
    <w:rsid w:val="00331E00"/>
    <w:rsid w:val="00331F2B"/>
    <w:rsid w:val="0033276B"/>
    <w:rsid w:val="003339E5"/>
    <w:rsid w:val="003344C4"/>
    <w:rsid w:val="00335311"/>
    <w:rsid w:val="003365EC"/>
    <w:rsid w:val="00336DF8"/>
    <w:rsid w:val="0033700E"/>
    <w:rsid w:val="00341DAD"/>
    <w:rsid w:val="003426FD"/>
    <w:rsid w:val="00342AEF"/>
    <w:rsid w:val="00342BEC"/>
    <w:rsid w:val="00344436"/>
    <w:rsid w:val="0034451F"/>
    <w:rsid w:val="00345282"/>
    <w:rsid w:val="003457DA"/>
    <w:rsid w:val="00346CA0"/>
    <w:rsid w:val="00347B73"/>
    <w:rsid w:val="003504B4"/>
    <w:rsid w:val="00351A48"/>
    <w:rsid w:val="00351E89"/>
    <w:rsid w:val="00352350"/>
    <w:rsid w:val="003529E4"/>
    <w:rsid w:val="00353953"/>
    <w:rsid w:val="00353FA1"/>
    <w:rsid w:val="00353FF9"/>
    <w:rsid w:val="00355482"/>
    <w:rsid w:val="00356A1B"/>
    <w:rsid w:val="00356DEF"/>
    <w:rsid w:val="003576AD"/>
    <w:rsid w:val="00357C83"/>
    <w:rsid w:val="0036019B"/>
    <w:rsid w:val="00360498"/>
    <w:rsid w:val="00360696"/>
    <w:rsid w:val="00360FC5"/>
    <w:rsid w:val="003617B1"/>
    <w:rsid w:val="00362028"/>
    <w:rsid w:val="00362206"/>
    <w:rsid w:val="0036228D"/>
    <w:rsid w:val="0036236B"/>
    <w:rsid w:val="00362B4B"/>
    <w:rsid w:val="00364411"/>
    <w:rsid w:val="00364AED"/>
    <w:rsid w:val="00365F85"/>
    <w:rsid w:val="0036639E"/>
    <w:rsid w:val="00370866"/>
    <w:rsid w:val="003715D4"/>
    <w:rsid w:val="00371709"/>
    <w:rsid w:val="00371919"/>
    <w:rsid w:val="003720CB"/>
    <w:rsid w:val="00372B4D"/>
    <w:rsid w:val="00372D6B"/>
    <w:rsid w:val="00372E53"/>
    <w:rsid w:val="00373118"/>
    <w:rsid w:val="0037346E"/>
    <w:rsid w:val="0037372F"/>
    <w:rsid w:val="00373F54"/>
    <w:rsid w:val="00373FCC"/>
    <w:rsid w:val="00374521"/>
    <w:rsid w:val="00374D98"/>
    <w:rsid w:val="003754F7"/>
    <w:rsid w:val="003756B9"/>
    <w:rsid w:val="003764C7"/>
    <w:rsid w:val="00376B76"/>
    <w:rsid w:val="003773AE"/>
    <w:rsid w:val="003803FB"/>
    <w:rsid w:val="00380AA0"/>
    <w:rsid w:val="00381F3A"/>
    <w:rsid w:val="0038268D"/>
    <w:rsid w:val="003829B3"/>
    <w:rsid w:val="00382C8E"/>
    <w:rsid w:val="00383DE9"/>
    <w:rsid w:val="00384227"/>
    <w:rsid w:val="00385A9A"/>
    <w:rsid w:val="003865AB"/>
    <w:rsid w:val="00386BB7"/>
    <w:rsid w:val="00386C9D"/>
    <w:rsid w:val="00387077"/>
    <w:rsid w:val="00387446"/>
    <w:rsid w:val="003905C8"/>
    <w:rsid w:val="00390A30"/>
    <w:rsid w:val="00390D2B"/>
    <w:rsid w:val="00391149"/>
    <w:rsid w:val="003911EB"/>
    <w:rsid w:val="00391EB9"/>
    <w:rsid w:val="0039210E"/>
    <w:rsid w:val="003924D7"/>
    <w:rsid w:val="00392DA4"/>
    <w:rsid w:val="00392E71"/>
    <w:rsid w:val="003947E7"/>
    <w:rsid w:val="00395540"/>
    <w:rsid w:val="0039649F"/>
    <w:rsid w:val="003965B2"/>
    <w:rsid w:val="003967BE"/>
    <w:rsid w:val="003A06C2"/>
    <w:rsid w:val="003A193A"/>
    <w:rsid w:val="003A258C"/>
    <w:rsid w:val="003A2F54"/>
    <w:rsid w:val="003A32B1"/>
    <w:rsid w:val="003A401A"/>
    <w:rsid w:val="003A4929"/>
    <w:rsid w:val="003A496A"/>
    <w:rsid w:val="003A49FE"/>
    <w:rsid w:val="003A4BFC"/>
    <w:rsid w:val="003A529B"/>
    <w:rsid w:val="003A58CD"/>
    <w:rsid w:val="003A5A5E"/>
    <w:rsid w:val="003A6F13"/>
    <w:rsid w:val="003A721B"/>
    <w:rsid w:val="003A7826"/>
    <w:rsid w:val="003B0FE8"/>
    <w:rsid w:val="003B176F"/>
    <w:rsid w:val="003B1BB6"/>
    <w:rsid w:val="003B2168"/>
    <w:rsid w:val="003B23A7"/>
    <w:rsid w:val="003B25AD"/>
    <w:rsid w:val="003B285D"/>
    <w:rsid w:val="003B437E"/>
    <w:rsid w:val="003B468D"/>
    <w:rsid w:val="003B4721"/>
    <w:rsid w:val="003B5984"/>
    <w:rsid w:val="003B5D57"/>
    <w:rsid w:val="003B62A3"/>
    <w:rsid w:val="003B6B26"/>
    <w:rsid w:val="003B742B"/>
    <w:rsid w:val="003B7E8E"/>
    <w:rsid w:val="003B7F21"/>
    <w:rsid w:val="003C0C38"/>
    <w:rsid w:val="003C1012"/>
    <w:rsid w:val="003C1381"/>
    <w:rsid w:val="003C1457"/>
    <w:rsid w:val="003C1940"/>
    <w:rsid w:val="003C2201"/>
    <w:rsid w:val="003C2AB9"/>
    <w:rsid w:val="003C366A"/>
    <w:rsid w:val="003C491A"/>
    <w:rsid w:val="003C6689"/>
    <w:rsid w:val="003C6729"/>
    <w:rsid w:val="003C70B2"/>
    <w:rsid w:val="003C7341"/>
    <w:rsid w:val="003C77EC"/>
    <w:rsid w:val="003C7BAB"/>
    <w:rsid w:val="003C7D19"/>
    <w:rsid w:val="003D0782"/>
    <w:rsid w:val="003D0957"/>
    <w:rsid w:val="003D0DDF"/>
    <w:rsid w:val="003D1098"/>
    <w:rsid w:val="003D2759"/>
    <w:rsid w:val="003D450E"/>
    <w:rsid w:val="003D4B75"/>
    <w:rsid w:val="003D4D86"/>
    <w:rsid w:val="003D5AEE"/>
    <w:rsid w:val="003D5D7E"/>
    <w:rsid w:val="003D62C1"/>
    <w:rsid w:val="003D66A4"/>
    <w:rsid w:val="003D6E76"/>
    <w:rsid w:val="003D71E5"/>
    <w:rsid w:val="003D7EA9"/>
    <w:rsid w:val="003E068B"/>
    <w:rsid w:val="003E076A"/>
    <w:rsid w:val="003E0974"/>
    <w:rsid w:val="003E0D6E"/>
    <w:rsid w:val="003E175A"/>
    <w:rsid w:val="003E1B27"/>
    <w:rsid w:val="003E21B0"/>
    <w:rsid w:val="003E2E4D"/>
    <w:rsid w:val="003E3611"/>
    <w:rsid w:val="003E4AC8"/>
    <w:rsid w:val="003E6006"/>
    <w:rsid w:val="003E6FB9"/>
    <w:rsid w:val="003E7009"/>
    <w:rsid w:val="003E7FA6"/>
    <w:rsid w:val="003E7FC7"/>
    <w:rsid w:val="003F014F"/>
    <w:rsid w:val="003F07AD"/>
    <w:rsid w:val="003F1377"/>
    <w:rsid w:val="003F21B0"/>
    <w:rsid w:val="003F21FC"/>
    <w:rsid w:val="003F29AE"/>
    <w:rsid w:val="003F2D22"/>
    <w:rsid w:val="003F31F6"/>
    <w:rsid w:val="003F36BE"/>
    <w:rsid w:val="003F36E8"/>
    <w:rsid w:val="003F38E5"/>
    <w:rsid w:val="003F4CF9"/>
    <w:rsid w:val="003F4D21"/>
    <w:rsid w:val="003F5D2B"/>
    <w:rsid w:val="003F6BA7"/>
    <w:rsid w:val="003F6C1C"/>
    <w:rsid w:val="003F72FF"/>
    <w:rsid w:val="003F77DE"/>
    <w:rsid w:val="003F7B33"/>
    <w:rsid w:val="00400E93"/>
    <w:rsid w:val="00402384"/>
    <w:rsid w:val="00402A15"/>
    <w:rsid w:val="00403F76"/>
    <w:rsid w:val="004041FE"/>
    <w:rsid w:val="00404500"/>
    <w:rsid w:val="00404A0D"/>
    <w:rsid w:val="00405496"/>
    <w:rsid w:val="0040580A"/>
    <w:rsid w:val="00407168"/>
    <w:rsid w:val="0040753E"/>
    <w:rsid w:val="00407A47"/>
    <w:rsid w:val="0041026C"/>
    <w:rsid w:val="00410E9D"/>
    <w:rsid w:val="004115FB"/>
    <w:rsid w:val="0041190C"/>
    <w:rsid w:val="00411E96"/>
    <w:rsid w:val="00411FC8"/>
    <w:rsid w:val="00412477"/>
    <w:rsid w:val="004128AF"/>
    <w:rsid w:val="004143F0"/>
    <w:rsid w:val="004172A8"/>
    <w:rsid w:val="00417378"/>
    <w:rsid w:val="00420DD4"/>
    <w:rsid w:val="00421254"/>
    <w:rsid w:val="00422174"/>
    <w:rsid w:val="004222A1"/>
    <w:rsid w:val="00424ECB"/>
    <w:rsid w:val="00425384"/>
    <w:rsid w:val="00425D06"/>
    <w:rsid w:val="00425DD2"/>
    <w:rsid w:val="004265E1"/>
    <w:rsid w:val="004268C4"/>
    <w:rsid w:val="00426BCA"/>
    <w:rsid w:val="00426EE5"/>
    <w:rsid w:val="0042708A"/>
    <w:rsid w:val="0042725E"/>
    <w:rsid w:val="0042772E"/>
    <w:rsid w:val="00427F27"/>
    <w:rsid w:val="00430645"/>
    <w:rsid w:val="00430ADD"/>
    <w:rsid w:val="00430D09"/>
    <w:rsid w:val="00431476"/>
    <w:rsid w:val="00431B80"/>
    <w:rsid w:val="00432973"/>
    <w:rsid w:val="00432C60"/>
    <w:rsid w:val="00433121"/>
    <w:rsid w:val="00433C39"/>
    <w:rsid w:val="004346CD"/>
    <w:rsid w:val="00434C96"/>
    <w:rsid w:val="00434E13"/>
    <w:rsid w:val="004356C5"/>
    <w:rsid w:val="00435B5F"/>
    <w:rsid w:val="00435D8D"/>
    <w:rsid w:val="00435E40"/>
    <w:rsid w:val="0043635A"/>
    <w:rsid w:val="004375E1"/>
    <w:rsid w:val="004376EA"/>
    <w:rsid w:val="00440BDD"/>
    <w:rsid w:val="004411DC"/>
    <w:rsid w:val="00442498"/>
    <w:rsid w:val="00442912"/>
    <w:rsid w:val="004429D6"/>
    <w:rsid w:val="00442AC5"/>
    <w:rsid w:val="00442D24"/>
    <w:rsid w:val="0044388D"/>
    <w:rsid w:val="00443930"/>
    <w:rsid w:val="004454FB"/>
    <w:rsid w:val="00445AB8"/>
    <w:rsid w:val="00446E2A"/>
    <w:rsid w:val="00450C2B"/>
    <w:rsid w:val="004515CC"/>
    <w:rsid w:val="00453865"/>
    <w:rsid w:val="004538AD"/>
    <w:rsid w:val="0045480B"/>
    <w:rsid w:val="00454F82"/>
    <w:rsid w:val="00455023"/>
    <w:rsid w:val="00455794"/>
    <w:rsid w:val="004559FD"/>
    <w:rsid w:val="00455E43"/>
    <w:rsid w:val="00460228"/>
    <w:rsid w:val="00460368"/>
    <w:rsid w:val="00460499"/>
    <w:rsid w:val="004609E2"/>
    <w:rsid w:val="004619F1"/>
    <w:rsid w:val="004620C9"/>
    <w:rsid w:val="00462714"/>
    <w:rsid w:val="004627EA"/>
    <w:rsid w:val="004636EF"/>
    <w:rsid w:val="0046377D"/>
    <w:rsid w:val="0046403E"/>
    <w:rsid w:val="00464213"/>
    <w:rsid w:val="00464F21"/>
    <w:rsid w:val="00465FDB"/>
    <w:rsid w:val="00467D61"/>
    <w:rsid w:val="00467E7D"/>
    <w:rsid w:val="00470FA7"/>
    <w:rsid w:val="00471EBA"/>
    <w:rsid w:val="0047209B"/>
    <w:rsid w:val="004727BD"/>
    <w:rsid w:val="00472D1E"/>
    <w:rsid w:val="004744AF"/>
    <w:rsid w:val="00474792"/>
    <w:rsid w:val="004756A0"/>
    <w:rsid w:val="004771BE"/>
    <w:rsid w:val="00480350"/>
    <w:rsid w:val="00480AE6"/>
    <w:rsid w:val="00480D58"/>
    <w:rsid w:val="00482059"/>
    <w:rsid w:val="004838A6"/>
    <w:rsid w:val="00484136"/>
    <w:rsid w:val="00485863"/>
    <w:rsid w:val="00485A22"/>
    <w:rsid w:val="00486EC5"/>
    <w:rsid w:val="00487AC1"/>
    <w:rsid w:val="00487C35"/>
    <w:rsid w:val="0049077F"/>
    <w:rsid w:val="004917D7"/>
    <w:rsid w:val="00491BB4"/>
    <w:rsid w:val="00491BF9"/>
    <w:rsid w:val="00492465"/>
    <w:rsid w:val="0049257B"/>
    <w:rsid w:val="00492A6D"/>
    <w:rsid w:val="00492FB8"/>
    <w:rsid w:val="00493A07"/>
    <w:rsid w:val="00494000"/>
    <w:rsid w:val="00494432"/>
    <w:rsid w:val="00494C42"/>
    <w:rsid w:val="0049526D"/>
    <w:rsid w:val="00495420"/>
    <w:rsid w:val="00495F2E"/>
    <w:rsid w:val="0049617D"/>
    <w:rsid w:val="00496C04"/>
    <w:rsid w:val="004978EE"/>
    <w:rsid w:val="00497F73"/>
    <w:rsid w:val="004A0D1E"/>
    <w:rsid w:val="004A124D"/>
    <w:rsid w:val="004A1B0C"/>
    <w:rsid w:val="004A20DB"/>
    <w:rsid w:val="004A2455"/>
    <w:rsid w:val="004A2F71"/>
    <w:rsid w:val="004A4F56"/>
    <w:rsid w:val="004A5430"/>
    <w:rsid w:val="004A7A12"/>
    <w:rsid w:val="004A7A1E"/>
    <w:rsid w:val="004A7C92"/>
    <w:rsid w:val="004A7E53"/>
    <w:rsid w:val="004B07E9"/>
    <w:rsid w:val="004B14F7"/>
    <w:rsid w:val="004B1805"/>
    <w:rsid w:val="004B1D83"/>
    <w:rsid w:val="004B21F1"/>
    <w:rsid w:val="004B3479"/>
    <w:rsid w:val="004B54F8"/>
    <w:rsid w:val="004B562E"/>
    <w:rsid w:val="004B681F"/>
    <w:rsid w:val="004B69A0"/>
    <w:rsid w:val="004B69BA"/>
    <w:rsid w:val="004B7286"/>
    <w:rsid w:val="004B735A"/>
    <w:rsid w:val="004B785D"/>
    <w:rsid w:val="004B7C9A"/>
    <w:rsid w:val="004C22C0"/>
    <w:rsid w:val="004C2E4F"/>
    <w:rsid w:val="004C3F71"/>
    <w:rsid w:val="004C48D3"/>
    <w:rsid w:val="004C4B2F"/>
    <w:rsid w:val="004C4D2A"/>
    <w:rsid w:val="004C5664"/>
    <w:rsid w:val="004C5F25"/>
    <w:rsid w:val="004C683A"/>
    <w:rsid w:val="004C696E"/>
    <w:rsid w:val="004C71B3"/>
    <w:rsid w:val="004C78BB"/>
    <w:rsid w:val="004C78F5"/>
    <w:rsid w:val="004C7979"/>
    <w:rsid w:val="004D0496"/>
    <w:rsid w:val="004D05FA"/>
    <w:rsid w:val="004D08A6"/>
    <w:rsid w:val="004D0CA4"/>
    <w:rsid w:val="004D162E"/>
    <w:rsid w:val="004D2195"/>
    <w:rsid w:val="004D2530"/>
    <w:rsid w:val="004D3250"/>
    <w:rsid w:val="004D33EA"/>
    <w:rsid w:val="004D377B"/>
    <w:rsid w:val="004D4793"/>
    <w:rsid w:val="004D4AEF"/>
    <w:rsid w:val="004D4C57"/>
    <w:rsid w:val="004D4F55"/>
    <w:rsid w:val="004D585F"/>
    <w:rsid w:val="004D7897"/>
    <w:rsid w:val="004E0417"/>
    <w:rsid w:val="004E0525"/>
    <w:rsid w:val="004E0852"/>
    <w:rsid w:val="004E0F3A"/>
    <w:rsid w:val="004E1ABB"/>
    <w:rsid w:val="004E20D2"/>
    <w:rsid w:val="004E2636"/>
    <w:rsid w:val="004E299C"/>
    <w:rsid w:val="004E29D5"/>
    <w:rsid w:val="004E3496"/>
    <w:rsid w:val="004E371A"/>
    <w:rsid w:val="004E39F2"/>
    <w:rsid w:val="004E3A58"/>
    <w:rsid w:val="004E3F11"/>
    <w:rsid w:val="004E408D"/>
    <w:rsid w:val="004E45FC"/>
    <w:rsid w:val="004E5A17"/>
    <w:rsid w:val="004E5CC5"/>
    <w:rsid w:val="004E62B8"/>
    <w:rsid w:val="004E6427"/>
    <w:rsid w:val="004E67E1"/>
    <w:rsid w:val="004E7B56"/>
    <w:rsid w:val="004E7BC2"/>
    <w:rsid w:val="004F02EA"/>
    <w:rsid w:val="004F08D6"/>
    <w:rsid w:val="004F10A1"/>
    <w:rsid w:val="004F10C5"/>
    <w:rsid w:val="004F11A7"/>
    <w:rsid w:val="004F248D"/>
    <w:rsid w:val="004F36EC"/>
    <w:rsid w:val="004F3AEE"/>
    <w:rsid w:val="004F462F"/>
    <w:rsid w:val="004F59E3"/>
    <w:rsid w:val="004F619E"/>
    <w:rsid w:val="004F65A7"/>
    <w:rsid w:val="004F7725"/>
    <w:rsid w:val="004F78BC"/>
    <w:rsid w:val="004F7A74"/>
    <w:rsid w:val="00500025"/>
    <w:rsid w:val="00500873"/>
    <w:rsid w:val="005012C4"/>
    <w:rsid w:val="00501DDA"/>
    <w:rsid w:val="00502178"/>
    <w:rsid w:val="00503128"/>
    <w:rsid w:val="0050397C"/>
    <w:rsid w:val="00503C60"/>
    <w:rsid w:val="005043ED"/>
    <w:rsid w:val="00504F0F"/>
    <w:rsid w:val="00504FF9"/>
    <w:rsid w:val="0050540D"/>
    <w:rsid w:val="005065AF"/>
    <w:rsid w:val="005070AD"/>
    <w:rsid w:val="0050775B"/>
    <w:rsid w:val="005078CA"/>
    <w:rsid w:val="00510343"/>
    <w:rsid w:val="005104AE"/>
    <w:rsid w:val="0051059E"/>
    <w:rsid w:val="00510D5D"/>
    <w:rsid w:val="00510FF7"/>
    <w:rsid w:val="00511785"/>
    <w:rsid w:val="00511D07"/>
    <w:rsid w:val="005129BD"/>
    <w:rsid w:val="005131D9"/>
    <w:rsid w:val="00513242"/>
    <w:rsid w:val="00513EE1"/>
    <w:rsid w:val="00513F1A"/>
    <w:rsid w:val="00520512"/>
    <w:rsid w:val="00520C56"/>
    <w:rsid w:val="00520E3A"/>
    <w:rsid w:val="00521722"/>
    <w:rsid w:val="00522386"/>
    <w:rsid w:val="0052269B"/>
    <w:rsid w:val="005237A9"/>
    <w:rsid w:val="00523BEF"/>
    <w:rsid w:val="00523FF4"/>
    <w:rsid w:val="0052441D"/>
    <w:rsid w:val="005244A7"/>
    <w:rsid w:val="00524C34"/>
    <w:rsid w:val="00525701"/>
    <w:rsid w:val="00525717"/>
    <w:rsid w:val="00525911"/>
    <w:rsid w:val="00526163"/>
    <w:rsid w:val="005275B1"/>
    <w:rsid w:val="00530284"/>
    <w:rsid w:val="005304AF"/>
    <w:rsid w:val="00531A70"/>
    <w:rsid w:val="00531A9B"/>
    <w:rsid w:val="00532D4C"/>
    <w:rsid w:val="00532DE9"/>
    <w:rsid w:val="00533105"/>
    <w:rsid w:val="00533D56"/>
    <w:rsid w:val="00533DB8"/>
    <w:rsid w:val="0053416D"/>
    <w:rsid w:val="005348AF"/>
    <w:rsid w:val="0053493C"/>
    <w:rsid w:val="00534A49"/>
    <w:rsid w:val="005353FD"/>
    <w:rsid w:val="00535434"/>
    <w:rsid w:val="00535803"/>
    <w:rsid w:val="005359D7"/>
    <w:rsid w:val="00535FA5"/>
    <w:rsid w:val="0053615A"/>
    <w:rsid w:val="00536796"/>
    <w:rsid w:val="00537BD1"/>
    <w:rsid w:val="00537CE4"/>
    <w:rsid w:val="005403B3"/>
    <w:rsid w:val="00540A7C"/>
    <w:rsid w:val="00541131"/>
    <w:rsid w:val="005416CF"/>
    <w:rsid w:val="005417C0"/>
    <w:rsid w:val="0054197C"/>
    <w:rsid w:val="00543B0D"/>
    <w:rsid w:val="00543FE7"/>
    <w:rsid w:val="00544EFD"/>
    <w:rsid w:val="00545AA8"/>
    <w:rsid w:val="00546484"/>
    <w:rsid w:val="00546F86"/>
    <w:rsid w:val="0054739B"/>
    <w:rsid w:val="005505D5"/>
    <w:rsid w:val="00550779"/>
    <w:rsid w:val="00550EC7"/>
    <w:rsid w:val="00551094"/>
    <w:rsid w:val="00551396"/>
    <w:rsid w:val="005513F3"/>
    <w:rsid w:val="005517F5"/>
    <w:rsid w:val="00551E5E"/>
    <w:rsid w:val="0055303A"/>
    <w:rsid w:val="00553496"/>
    <w:rsid w:val="00553CB8"/>
    <w:rsid w:val="00553DB7"/>
    <w:rsid w:val="00554267"/>
    <w:rsid w:val="005545A3"/>
    <w:rsid w:val="00554B82"/>
    <w:rsid w:val="00555BA8"/>
    <w:rsid w:val="00555F64"/>
    <w:rsid w:val="0055635D"/>
    <w:rsid w:val="0055754D"/>
    <w:rsid w:val="0056001D"/>
    <w:rsid w:val="0056028B"/>
    <w:rsid w:val="005605BF"/>
    <w:rsid w:val="00560631"/>
    <w:rsid w:val="005617B4"/>
    <w:rsid w:val="00562191"/>
    <w:rsid w:val="00562358"/>
    <w:rsid w:val="0056278A"/>
    <w:rsid w:val="00562F35"/>
    <w:rsid w:val="0056300F"/>
    <w:rsid w:val="005638C1"/>
    <w:rsid w:val="00563B25"/>
    <w:rsid w:val="005657C1"/>
    <w:rsid w:val="00565AF5"/>
    <w:rsid w:val="0056687C"/>
    <w:rsid w:val="0057255C"/>
    <w:rsid w:val="005725D7"/>
    <w:rsid w:val="005732C1"/>
    <w:rsid w:val="00574231"/>
    <w:rsid w:val="00574295"/>
    <w:rsid w:val="0057430D"/>
    <w:rsid w:val="005748F4"/>
    <w:rsid w:val="005749E3"/>
    <w:rsid w:val="00575C03"/>
    <w:rsid w:val="0057667C"/>
    <w:rsid w:val="00576FFD"/>
    <w:rsid w:val="005770E9"/>
    <w:rsid w:val="005773B2"/>
    <w:rsid w:val="0057769E"/>
    <w:rsid w:val="005804B6"/>
    <w:rsid w:val="0058179C"/>
    <w:rsid w:val="00581DF2"/>
    <w:rsid w:val="005822BA"/>
    <w:rsid w:val="005823E6"/>
    <w:rsid w:val="00583414"/>
    <w:rsid w:val="00583465"/>
    <w:rsid w:val="00584E4F"/>
    <w:rsid w:val="00584FD2"/>
    <w:rsid w:val="00585ACA"/>
    <w:rsid w:val="00586992"/>
    <w:rsid w:val="00587584"/>
    <w:rsid w:val="00587979"/>
    <w:rsid w:val="00587E34"/>
    <w:rsid w:val="005902E7"/>
    <w:rsid w:val="005904FC"/>
    <w:rsid w:val="00592998"/>
    <w:rsid w:val="00592F16"/>
    <w:rsid w:val="00593771"/>
    <w:rsid w:val="00594179"/>
    <w:rsid w:val="005948D8"/>
    <w:rsid w:val="00594910"/>
    <w:rsid w:val="005949F4"/>
    <w:rsid w:val="00595100"/>
    <w:rsid w:val="005961F7"/>
    <w:rsid w:val="00596566"/>
    <w:rsid w:val="005966C3"/>
    <w:rsid w:val="00597212"/>
    <w:rsid w:val="00597321"/>
    <w:rsid w:val="005973E3"/>
    <w:rsid w:val="005A06D4"/>
    <w:rsid w:val="005A1A62"/>
    <w:rsid w:val="005A2053"/>
    <w:rsid w:val="005A20E3"/>
    <w:rsid w:val="005A26DB"/>
    <w:rsid w:val="005A3D68"/>
    <w:rsid w:val="005A4C67"/>
    <w:rsid w:val="005A4F68"/>
    <w:rsid w:val="005A5B4C"/>
    <w:rsid w:val="005A5DEF"/>
    <w:rsid w:val="005A5E77"/>
    <w:rsid w:val="005A67A8"/>
    <w:rsid w:val="005A70FB"/>
    <w:rsid w:val="005B00D5"/>
    <w:rsid w:val="005B1444"/>
    <w:rsid w:val="005B1EC0"/>
    <w:rsid w:val="005B1EFC"/>
    <w:rsid w:val="005B26E6"/>
    <w:rsid w:val="005B2D71"/>
    <w:rsid w:val="005B2F11"/>
    <w:rsid w:val="005B4053"/>
    <w:rsid w:val="005B4D4E"/>
    <w:rsid w:val="005B5607"/>
    <w:rsid w:val="005B5EE5"/>
    <w:rsid w:val="005B6335"/>
    <w:rsid w:val="005B6339"/>
    <w:rsid w:val="005B6416"/>
    <w:rsid w:val="005C084D"/>
    <w:rsid w:val="005C1A9A"/>
    <w:rsid w:val="005C1F05"/>
    <w:rsid w:val="005C340F"/>
    <w:rsid w:val="005C4DCF"/>
    <w:rsid w:val="005C5081"/>
    <w:rsid w:val="005C6C64"/>
    <w:rsid w:val="005C6F79"/>
    <w:rsid w:val="005C6FD4"/>
    <w:rsid w:val="005D0401"/>
    <w:rsid w:val="005D04D6"/>
    <w:rsid w:val="005D0715"/>
    <w:rsid w:val="005D095A"/>
    <w:rsid w:val="005D13FC"/>
    <w:rsid w:val="005D14DB"/>
    <w:rsid w:val="005D1BF9"/>
    <w:rsid w:val="005D2DB1"/>
    <w:rsid w:val="005D3533"/>
    <w:rsid w:val="005D39B4"/>
    <w:rsid w:val="005D5E22"/>
    <w:rsid w:val="005D7A11"/>
    <w:rsid w:val="005E0109"/>
    <w:rsid w:val="005E0896"/>
    <w:rsid w:val="005E1150"/>
    <w:rsid w:val="005E1250"/>
    <w:rsid w:val="005E1B30"/>
    <w:rsid w:val="005E3827"/>
    <w:rsid w:val="005E3DC9"/>
    <w:rsid w:val="005E4922"/>
    <w:rsid w:val="005E4B13"/>
    <w:rsid w:val="005E4CC8"/>
    <w:rsid w:val="005E5CA9"/>
    <w:rsid w:val="005E66EE"/>
    <w:rsid w:val="005E7189"/>
    <w:rsid w:val="005E77AA"/>
    <w:rsid w:val="005F0D53"/>
    <w:rsid w:val="005F12E5"/>
    <w:rsid w:val="005F16AC"/>
    <w:rsid w:val="005F17F2"/>
    <w:rsid w:val="005F1DE7"/>
    <w:rsid w:val="005F2E8F"/>
    <w:rsid w:val="005F32DE"/>
    <w:rsid w:val="005F3B21"/>
    <w:rsid w:val="005F4121"/>
    <w:rsid w:val="005F560A"/>
    <w:rsid w:val="005F5B5F"/>
    <w:rsid w:val="005F6BB4"/>
    <w:rsid w:val="005F6D33"/>
    <w:rsid w:val="00600470"/>
    <w:rsid w:val="00600ED2"/>
    <w:rsid w:val="00600F81"/>
    <w:rsid w:val="0060143D"/>
    <w:rsid w:val="0060143E"/>
    <w:rsid w:val="00601FDD"/>
    <w:rsid w:val="00602A3F"/>
    <w:rsid w:val="0060364A"/>
    <w:rsid w:val="0060385E"/>
    <w:rsid w:val="0060417F"/>
    <w:rsid w:val="0060422F"/>
    <w:rsid w:val="00605840"/>
    <w:rsid w:val="00605D10"/>
    <w:rsid w:val="00606AB0"/>
    <w:rsid w:val="00606D35"/>
    <w:rsid w:val="0060735C"/>
    <w:rsid w:val="0060746A"/>
    <w:rsid w:val="0061050C"/>
    <w:rsid w:val="006105FE"/>
    <w:rsid w:val="006109C6"/>
    <w:rsid w:val="00610D2D"/>
    <w:rsid w:val="00610D69"/>
    <w:rsid w:val="00610DBB"/>
    <w:rsid w:val="00612667"/>
    <w:rsid w:val="00612BC5"/>
    <w:rsid w:val="0061348C"/>
    <w:rsid w:val="006138F2"/>
    <w:rsid w:val="00614178"/>
    <w:rsid w:val="00614466"/>
    <w:rsid w:val="00614762"/>
    <w:rsid w:val="006151B9"/>
    <w:rsid w:val="006160F6"/>
    <w:rsid w:val="0061615C"/>
    <w:rsid w:val="00616294"/>
    <w:rsid w:val="00616473"/>
    <w:rsid w:val="006170BC"/>
    <w:rsid w:val="006176E0"/>
    <w:rsid w:val="00620C25"/>
    <w:rsid w:val="00620CE3"/>
    <w:rsid w:val="0062136B"/>
    <w:rsid w:val="006225BE"/>
    <w:rsid w:val="00622A8F"/>
    <w:rsid w:val="00622AD6"/>
    <w:rsid w:val="00622C17"/>
    <w:rsid w:val="006232A5"/>
    <w:rsid w:val="00623E4E"/>
    <w:rsid w:val="00624793"/>
    <w:rsid w:val="00624900"/>
    <w:rsid w:val="00624E7D"/>
    <w:rsid w:val="00624E85"/>
    <w:rsid w:val="00625973"/>
    <w:rsid w:val="006263FE"/>
    <w:rsid w:val="006267E7"/>
    <w:rsid w:val="00626D53"/>
    <w:rsid w:val="00627394"/>
    <w:rsid w:val="0063159C"/>
    <w:rsid w:val="00631639"/>
    <w:rsid w:val="006317B6"/>
    <w:rsid w:val="006325D4"/>
    <w:rsid w:val="0063269B"/>
    <w:rsid w:val="00632B00"/>
    <w:rsid w:val="00634A45"/>
    <w:rsid w:val="00634C57"/>
    <w:rsid w:val="00634CFC"/>
    <w:rsid w:val="006350C6"/>
    <w:rsid w:val="006351C9"/>
    <w:rsid w:val="006359D6"/>
    <w:rsid w:val="00635B9C"/>
    <w:rsid w:val="00635D50"/>
    <w:rsid w:val="006364A7"/>
    <w:rsid w:val="00636711"/>
    <w:rsid w:val="006368F5"/>
    <w:rsid w:val="00636BC3"/>
    <w:rsid w:val="0063705A"/>
    <w:rsid w:val="00637DAE"/>
    <w:rsid w:val="0064086B"/>
    <w:rsid w:val="006412D7"/>
    <w:rsid w:val="00641446"/>
    <w:rsid w:val="006419A8"/>
    <w:rsid w:val="00641EC3"/>
    <w:rsid w:val="00642631"/>
    <w:rsid w:val="00642ABC"/>
    <w:rsid w:val="00642B80"/>
    <w:rsid w:val="00643671"/>
    <w:rsid w:val="0064385B"/>
    <w:rsid w:val="00643AEE"/>
    <w:rsid w:val="00643FDB"/>
    <w:rsid w:val="006444D6"/>
    <w:rsid w:val="00644947"/>
    <w:rsid w:val="00644DAD"/>
    <w:rsid w:val="0064612C"/>
    <w:rsid w:val="006469A9"/>
    <w:rsid w:val="00646ABB"/>
    <w:rsid w:val="00646B2F"/>
    <w:rsid w:val="00647344"/>
    <w:rsid w:val="00647552"/>
    <w:rsid w:val="006505B1"/>
    <w:rsid w:val="00650FA8"/>
    <w:rsid w:val="00651323"/>
    <w:rsid w:val="0065177E"/>
    <w:rsid w:val="0065213D"/>
    <w:rsid w:val="00652A78"/>
    <w:rsid w:val="00652BCA"/>
    <w:rsid w:val="00653190"/>
    <w:rsid w:val="006536A5"/>
    <w:rsid w:val="0065583A"/>
    <w:rsid w:val="00655CF5"/>
    <w:rsid w:val="00655EF1"/>
    <w:rsid w:val="0065606B"/>
    <w:rsid w:val="00656404"/>
    <w:rsid w:val="00656798"/>
    <w:rsid w:val="00656B79"/>
    <w:rsid w:val="00657AB2"/>
    <w:rsid w:val="006604B9"/>
    <w:rsid w:val="00660585"/>
    <w:rsid w:val="00660ACA"/>
    <w:rsid w:val="00660F1B"/>
    <w:rsid w:val="00661A61"/>
    <w:rsid w:val="00662C9B"/>
    <w:rsid w:val="006633F2"/>
    <w:rsid w:val="006640E8"/>
    <w:rsid w:val="00664A74"/>
    <w:rsid w:val="00664FB3"/>
    <w:rsid w:val="00665D95"/>
    <w:rsid w:val="00667158"/>
    <w:rsid w:val="006702F4"/>
    <w:rsid w:val="006706A8"/>
    <w:rsid w:val="006709F6"/>
    <w:rsid w:val="00671682"/>
    <w:rsid w:val="00672569"/>
    <w:rsid w:val="00672732"/>
    <w:rsid w:val="0067279A"/>
    <w:rsid w:val="00672F12"/>
    <w:rsid w:val="006736E0"/>
    <w:rsid w:val="00673A2D"/>
    <w:rsid w:val="00674024"/>
    <w:rsid w:val="0067403E"/>
    <w:rsid w:val="0067471C"/>
    <w:rsid w:val="00675113"/>
    <w:rsid w:val="00675F56"/>
    <w:rsid w:val="00675FEA"/>
    <w:rsid w:val="00676308"/>
    <w:rsid w:val="00677882"/>
    <w:rsid w:val="00677CFE"/>
    <w:rsid w:val="006809BB"/>
    <w:rsid w:val="00681547"/>
    <w:rsid w:val="00681CB3"/>
    <w:rsid w:val="00682051"/>
    <w:rsid w:val="0068229E"/>
    <w:rsid w:val="0068230C"/>
    <w:rsid w:val="006823AF"/>
    <w:rsid w:val="00682456"/>
    <w:rsid w:val="00682D1D"/>
    <w:rsid w:val="006843AD"/>
    <w:rsid w:val="0068482D"/>
    <w:rsid w:val="00685478"/>
    <w:rsid w:val="00685D95"/>
    <w:rsid w:val="006860D5"/>
    <w:rsid w:val="00690337"/>
    <w:rsid w:val="00690929"/>
    <w:rsid w:val="00690B78"/>
    <w:rsid w:val="00690C8A"/>
    <w:rsid w:val="0069105B"/>
    <w:rsid w:val="0069187C"/>
    <w:rsid w:val="00692157"/>
    <w:rsid w:val="00692498"/>
    <w:rsid w:val="00693084"/>
    <w:rsid w:val="006933F6"/>
    <w:rsid w:val="00693B7E"/>
    <w:rsid w:val="00694770"/>
    <w:rsid w:val="00694A3E"/>
    <w:rsid w:val="00694F99"/>
    <w:rsid w:val="006950AE"/>
    <w:rsid w:val="006955B6"/>
    <w:rsid w:val="00695609"/>
    <w:rsid w:val="00695633"/>
    <w:rsid w:val="00695A94"/>
    <w:rsid w:val="00697B06"/>
    <w:rsid w:val="006A0368"/>
    <w:rsid w:val="006A0708"/>
    <w:rsid w:val="006A076B"/>
    <w:rsid w:val="006A0B48"/>
    <w:rsid w:val="006A0C77"/>
    <w:rsid w:val="006A0EEF"/>
    <w:rsid w:val="006A1C3A"/>
    <w:rsid w:val="006A3425"/>
    <w:rsid w:val="006A34E3"/>
    <w:rsid w:val="006A3A29"/>
    <w:rsid w:val="006A4185"/>
    <w:rsid w:val="006A41C7"/>
    <w:rsid w:val="006A42C8"/>
    <w:rsid w:val="006A4B52"/>
    <w:rsid w:val="006A70B9"/>
    <w:rsid w:val="006A7116"/>
    <w:rsid w:val="006A72CA"/>
    <w:rsid w:val="006A7902"/>
    <w:rsid w:val="006A7FF6"/>
    <w:rsid w:val="006B0567"/>
    <w:rsid w:val="006B0D59"/>
    <w:rsid w:val="006B1D87"/>
    <w:rsid w:val="006B1F21"/>
    <w:rsid w:val="006B26CD"/>
    <w:rsid w:val="006B275A"/>
    <w:rsid w:val="006B310F"/>
    <w:rsid w:val="006B3443"/>
    <w:rsid w:val="006B36A3"/>
    <w:rsid w:val="006B3FA5"/>
    <w:rsid w:val="006B52F1"/>
    <w:rsid w:val="006B6890"/>
    <w:rsid w:val="006B6D28"/>
    <w:rsid w:val="006B6FCF"/>
    <w:rsid w:val="006B7BAC"/>
    <w:rsid w:val="006C02B1"/>
    <w:rsid w:val="006C09F2"/>
    <w:rsid w:val="006C1210"/>
    <w:rsid w:val="006C14DF"/>
    <w:rsid w:val="006C17AA"/>
    <w:rsid w:val="006C2ED9"/>
    <w:rsid w:val="006C357F"/>
    <w:rsid w:val="006C3760"/>
    <w:rsid w:val="006C4168"/>
    <w:rsid w:val="006C4393"/>
    <w:rsid w:val="006C4FA2"/>
    <w:rsid w:val="006C5647"/>
    <w:rsid w:val="006C5D8E"/>
    <w:rsid w:val="006C6136"/>
    <w:rsid w:val="006C75F0"/>
    <w:rsid w:val="006C77FE"/>
    <w:rsid w:val="006C7AA5"/>
    <w:rsid w:val="006C7B74"/>
    <w:rsid w:val="006C7ED4"/>
    <w:rsid w:val="006D0155"/>
    <w:rsid w:val="006D0CA3"/>
    <w:rsid w:val="006D0D2B"/>
    <w:rsid w:val="006D1761"/>
    <w:rsid w:val="006D1AAA"/>
    <w:rsid w:val="006D1DC4"/>
    <w:rsid w:val="006D2E5E"/>
    <w:rsid w:val="006D34A6"/>
    <w:rsid w:val="006D3995"/>
    <w:rsid w:val="006D40ED"/>
    <w:rsid w:val="006D4329"/>
    <w:rsid w:val="006D48D9"/>
    <w:rsid w:val="006D5AAC"/>
    <w:rsid w:val="006D6528"/>
    <w:rsid w:val="006D66BA"/>
    <w:rsid w:val="006E02BE"/>
    <w:rsid w:val="006E14DA"/>
    <w:rsid w:val="006E34B7"/>
    <w:rsid w:val="006E3E9A"/>
    <w:rsid w:val="006E5E92"/>
    <w:rsid w:val="006E5ED1"/>
    <w:rsid w:val="006E686D"/>
    <w:rsid w:val="006E687B"/>
    <w:rsid w:val="006E6E6A"/>
    <w:rsid w:val="006E77A9"/>
    <w:rsid w:val="006E798D"/>
    <w:rsid w:val="006F00CE"/>
    <w:rsid w:val="006F0AEE"/>
    <w:rsid w:val="006F10CF"/>
    <w:rsid w:val="006F19C9"/>
    <w:rsid w:val="006F257A"/>
    <w:rsid w:val="006F33C7"/>
    <w:rsid w:val="006F511D"/>
    <w:rsid w:val="006F5D7A"/>
    <w:rsid w:val="006F5DE0"/>
    <w:rsid w:val="006F623D"/>
    <w:rsid w:val="006F6546"/>
    <w:rsid w:val="006F6E44"/>
    <w:rsid w:val="006F7242"/>
    <w:rsid w:val="006F7366"/>
    <w:rsid w:val="006F7372"/>
    <w:rsid w:val="006F760F"/>
    <w:rsid w:val="006F7AD8"/>
    <w:rsid w:val="0070062E"/>
    <w:rsid w:val="00700932"/>
    <w:rsid w:val="007016D6"/>
    <w:rsid w:val="00701C9A"/>
    <w:rsid w:val="00701FB8"/>
    <w:rsid w:val="007022FC"/>
    <w:rsid w:val="0070299C"/>
    <w:rsid w:val="00702EA5"/>
    <w:rsid w:val="00703260"/>
    <w:rsid w:val="00703519"/>
    <w:rsid w:val="007040E1"/>
    <w:rsid w:val="00704B79"/>
    <w:rsid w:val="00704C08"/>
    <w:rsid w:val="00704FDE"/>
    <w:rsid w:val="0070564C"/>
    <w:rsid w:val="007058F4"/>
    <w:rsid w:val="007060E3"/>
    <w:rsid w:val="007064B6"/>
    <w:rsid w:val="0070708E"/>
    <w:rsid w:val="0070794D"/>
    <w:rsid w:val="00710193"/>
    <w:rsid w:val="00710AA6"/>
    <w:rsid w:val="0071153E"/>
    <w:rsid w:val="00711543"/>
    <w:rsid w:val="0071506D"/>
    <w:rsid w:val="007158B5"/>
    <w:rsid w:val="00716141"/>
    <w:rsid w:val="00717470"/>
    <w:rsid w:val="00717E65"/>
    <w:rsid w:val="00717FAA"/>
    <w:rsid w:val="007202F1"/>
    <w:rsid w:val="00720F85"/>
    <w:rsid w:val="00721123"/>
    <w:rsid w:val="0072163F"/>
    <w:rsid w:val="00721F34"/>
    <w:rsid w:val="00722537"/>
    <w:rsid w:val="00722F7E"/>
    <w:rsid w:val="00723047"/>
    <w:rsid w:val="007246A5"/>
    <w:rsid w:val="00724898"/>
    <w:rsid w:val="00724D1A"/>
    <w:rsid w:val="00726013"/>
    <w:rsid w:val="00726D3E"/>
    <w:rsid w:val="00727400"/>
    <w:rsid w:val="0072797D"/>
    <w:rsid w:val="00727A08"/>
    <w:rsid w:val="00727D3A"/>
    <w:rsid w:val="007311E4"/>
    <w:rsid w:val="00731316"/>
    <w:rsid w:val="00731966"/>
    <w:rsid w:val="007326A4"/>
    <w:rsid w:val="00732A33"/>
    <w:rsid w:val="00733067"/>
    <w:rsid w:val="007334CD"/>
    <w:rsid w:val="0073384A"/>
    <w:rsid w:val="007339A2"/>
    <w:rsid w:val="007341DF"/>
    <w:rsid w:val="0073451B"/>
    <w:rsid w:val="0073456A"/>
    <w:rsid w:val="00735232"/>
    <w:rsid w:val="0073549A"/>
    <w:rsid w:val="007356FF"/>
    <w:rsid w:val="00735A52"/>
    <w:rsid w:val="00736007"/>
    <w:rsid w:val="007360AF"/>
    <w:rsid w:val="007361E9"/>
    <w:rsid w:val="00736392"/>
    <w:rsid w:val="00736C1A"/>
    <w:rsid w:val="0073772A"/>
    <w:rsid w:val="0074007E"/>
    <w:rsid w:val="007403D6"/>
    <w:rsid w:val="00740574"/>
    <w:rsid w:val="00742A43"/>
    <w:rsid w:val="00743569"/>
    <w:rsid w:val="00743D61"/>
    <w:rsid w:val="0074441B"/>
    <w:rsid w:val="0074458A"/>
    <w:rsid w:val="007447D3"/>
    <w:rsid w:val="00744878"/>
    <w:rsid w:val="0074501C"/>
    <w:rsid w:val="00745601"/>
    <w:rsid w:val="007460A3"/>
    <w:rsid w:val="00746B2D"/>
    <w:rsid w:val="00747578"/>
    <w:rsid w:val="00750CB4"/>
    <w:rsid w:val="00750EC7"/>
    <w:rsid w:val="0075297F"/>
    <w:rsid w:val="00752A99"/>
    <w:rsid w:val="00753064"/>
    <w:rsid w:val="007534C9"/>
    <w:rsid w:val="007534EA"/>
    <w:rsid w:val="007536D2"/>
    <w:rsid w:val="00753A05"/>
    <w:rsid w:val="0075432A"/>
    <w:rsid w:val="00754356"/>
    <w:rsid w:val="0075527A"/>
    <w:rsid w:val="00755BE2"/>
    <w:rsid w:val="0075641E"/>
    <w:rsid w:val="00756A3B"/>
    <w:rsid w:val="00756AD2"/>
    <w:rsid w:val="00757C6F"/>
    <w:rsid w:val="007602FE"/>
    <w:rsid w:val="00760601"/>
    <w:rsid w:val="00760A70"/>
    <w:rsid w:val="0076151D"/>
    <w:rsid w:val="00761580"/>
    <w:rsid w:val="0076182E"/>
    <w:rsid w:val="0076206F"/>
    <w:rsid w:val="007624CD"/>
    <w:rsid w:val="007625C7"/>
    <w:rsid w:val="0076367C"/>
    <w:rsid w:val="00764FBD"/>
    <w:rsid w:val="0076578C"/>
    <w:rsid w:val="007663DD"/>
    <w:rsid w:val="007665E8"/>
    <w:rsid w:val="00766CB2"/>
    <w:rsid w:val="00767294"/>
    <w:rsid w:val="00767872"/>
    <w:rsid w:val="00767C64"/>
    <w:rsid w:val="0077015D"/>
    <w:rsid w:val="00770202"/>
    <w:rsid w:val="00770354"/>
    <w:rsid w:val="00770A2C"/>
    <w:rsid w:val="00770CF5"/>
    <w:rsid w:val="007720D6"/>
    <w:rsid w:val="00772534"/>
    <w:rsid w:val="00773019"/>
    <w:rsid w:val="00773D98"/>
    <w:rsid w:val="00773E51"/>
    <w:rsid w:val="00774BB7"/>
    <w:rsid w:val="0077559F"/>
    <w:rsid w:val="007763DD"/>
    <w:rsid w:val="00776870"/>
    <w:rsid w:val="00777610"/>
    <w:rsid w:val="007806A9"/>
    <w:rsid w:val="00780E7B"/>
    <w:rsid w:val="00781AF3"/>
    <w:rsid w:val="00781C15"/>
    <w:rsid w:val="00782503"/>
    <w:rsid w:val="007827FC"/>
    <w:rsid w:val="00782A27"/>
    <w:rsid w:val="00782CA4"/>
    <w:rsid w:val="00783235"/>
    <w:rsid w:val="00783BBB"/>
    <w:rsid w:val="00783EE1"/>
    <w:rsid w:val="00784D10"/>
    <w:rsid w:val="00784DA9"/>
    <w:rsid w:val="00784F12"/>
    <w:rsid w:val="007851BA"/>
    <w:rsid w:val="007854CB"/>
    <w:rsid w:val="00785A70"/>
    <w:rsid w:val="00785F8F"/>
    <w:rsid w:val="007861ED"/>
    <w:rsid w:val="00786253"/>
    <w:rsid w:val="0078675C"/>
    <w:rsid w:val="0079087B"/>
    <w:rsid w:val="00790ADF"/>
    <w:rsid w:val="00792273"/>
    <w:rsid w:val="00792657"/>
    <w:rsid w:val="00793395"/>
    <w:rsid w:val="00793D6C"/>
    <w:rsid w:val="00793E7A"/>
    <w:rsid w:val="007958E0"/>
    <w:rsid w:val="00795E68"/>
    <w:rsid w:val="0079674B"/>
    <w:rsid w:val="007968A3"/>
    <w:rsid w:val="00796ADD"/>
    <w:rsid w:val="00796B93"/>
    <w:rsid w:val="00796D2C"/>
    <w:rsid w:val="00796F8F"/>
    <w:rsid w:val="0079780C"/>
    <w:rsid w:val="007A04BF"/>
    <w:rsid w:val="007A13A6"/>
    <w:rsid w:val="007A1828"/>
    <w:rsid w:val="007A1B1C"/>
    <w:rsid w:val="007A2B8F"/>
    <w:rsid w:val="007A2ECB"/>
    <w:rsid w:val="007A35E3"/>
    <w:rsid w:val="007A4A22"/>
    <w:rsid w:val="007A4D62"/>
    <w:rsid w:val="007A55BD"/>
    <w:rsid w:val="007A6D1D"/>
    <w:rsid w:val="007A6E94"/>
    <w:rsid w:val="007A70E9"/>
    <w:rsid w:val="007B0196"/>
    <w:rsid w:val="007B0E9A"/>
    <w:rsid w:val="007B38BE"/>
    <w:rsid w:val="007B3ACA"/>
    <w:rsid w:val="007B4199"/>
    <w:rsid w:val="007B5FFB"/>
    <w:rsid w:val="007B6358"/>
    <w:rsid w:val="007B7B49"/>
    <w:rsid w:val="007B7CAC"/>
    <w:rsid w:val="007C00A8"/>
    <w:rsid w:val="007C2234"/>
    <w:rsid w:val="007C357C"/>
    <w:rsid w:val="007C44E9"/>
    <w:rsid w:val="007C4989"/>
    <w:rsid w:val="007C5CFC"/>
    <w:rsid w:val="007C6B7F"/>
    <w:rsid w:val="007C6D5E"/>
    <w:rsid w:val="007C7B7C"/>
    <w:rsid w:val="007D0309"/>
    <w:rsid w:val="007D1B9F"/>
    <w:rsid w:val="007D3B82"/>
    <w:rsid w:val="007D3D4E"/>
    <w:rsid w:val="007D4199"/>
    <w:rsid w:val="007D4F33"/>
    <w:rsid w:val="007D6F53"/>
    <w:rsid w:val="007D70DB"/>
    <w:rsid w:val="007D747C"/>
    <w:rsid w:val="007D756B"/>
    <w:rsid w:val="007D7783"/>
    <w:rsid w:val="007E00F8"/>
    <w:rsid w:val="007E0852"/>
    <w:rsid w:val="007E0D05"/>
    <w:rsid w:val="007E1237"/>
    <w:rsid w:val="007E17F4"/>
    <w:rsid w:val="007E1AA7"/>
    <w:rsid w:val="007E2CDA"/>
    <w:rsid w:val="007E3229"/>
    <w:rsid w:val="007E3A25"/>
    <w:rsid w:val="007E4676"/>
    <w:rsid w:val="007E60BF"/>
    <w:rsid w:val="007E6676"/>
    <w:rsid w:val="007E6C97"/>
    <w:rsid w:val="007E6E4A"/>
    <w:rsid w:val="007E7EC5"/>
    <w:rsid w:val="007E7F55"/>
    <w:rsid w:val="007F0686"/>
    <w:rsid w:val="007F0BA0"/>
    <w:rsid w:val="007F15CA"/>
    <w:rsid w:val="007F1BDF"/>
    <w:rsid w:val="007F2471"/>
    <w:rsid w:val="007F2D6C"/>
    <w:rsid w:val="007F30A4"/>
    <w:rsid w:val="007F448C"/>
    <w:rsid w:val="007F4F69"/>
    <w:rsid w:val="007F51FA"/>
    <w:rsid w:val="007F5786"/>
    <w:rsid w:val="007F65E4"/>
    <w:rsid w:val="007F67A5"/>
    <w:rsid w:val="007F6FF3"/>
    <w:rsid w:val="007F7C42"/>
    <w:rsid w:val="007F7D57"/>
    <w:rsid w:val="0080009F"/>
    <w:rsid w:val="008000E4"/>
    <w:rsid w:val="00801B66"/>
    <w:rsid w:val="0080268A"/>
    <w:rsid w:val="008035DA"/>
    <w:rsid w:val="00803FAC"/>
    <w:rsid w:val="008047DD"/>
    <w:rsid w:val="008049D6"/>
    <w:rsid w:val="0080512B"/>
    <w:rsid w:val="0080536B"/>
    <w:rsid w:val="0080557B"/>
    <w:rsid w:val="0080563F"/>
    <w:rsid w:val="0080567B"/>
    <w:rsid w:val="008060C1"/>
    <w:rsid w:val="0080702C"/>
    <w:rsid w:val="00807147"/>
    <w:rsid w:val="00810265"/>
    <w:rsid w:val="0081034E"/>
    <w:rsid w:val="00810A91"/>
    <w:rsid w:val="008113CF"/>
    <w:rsid w:val="0081145A"/>
    <w:rsid w:val="0081178F"/>
    <w:rsid w:val="00811DB7"/>
    <w:rsid w:val="008125BF"/>
    <w:rsid w:val="00812853"/>
    <w:rsid w:val="00812FD5"/>
    <w:rsid w:val="00813046"/>
    <w:rsid w:val="008131DE"/>
    <w:rsid w:val="00813269"/>
    <w:rsid w:val="0081395C"/>
    <w:rsid w:val="00814135"/>
    <w:rsid w:val="00814834"/>
    <w:rsid w:val="00814E57"/>
    <w:rsid w:val="00815B79"/>
    <w:rsid w:val="008160A2"/>
    <w:rsid w:val="00816168"/>
    <w:rsid w:val="00816436"/>
    <w:rsid w:val="008171B6"/>
    <w:rsid w:val="008176BD"/>
    <w:rsid w:val="00817C7D"/>
    <w:rsid w:val="00817FDE"/>
    <w:rsid w:val="0082279F"/>
    <w:rsid w:val="008229B4"/>
    <w:rsid w:val="00824AB3"/>
    <w:rsid w:val="00825418"/>
    <w:rsid w:val="00825D40"/>
    <w:rsid w:val="00825DF8"/>
    <w:rsid w:val="0082632E"/>
    <w:rsid w:val="00826687"/>
    <w:rsid w:val="00826B93"/>
    <w:rsid w:val="00826DD6"/>
    <w:rsid w:val="008304EE"/>
    <w:rsid w:val="00830F6E"/>
    <w:rsid w:val="00831211"/>
    <w:rsid w:val="00831E27"/>
    <w:rsid w:val="00831EAE"/>
    <w:rsid w:val="008322D9"/>
    <w:rsid w:val="00832FB6"/>
    <w:rsid w:val="00833FA3"/>
    <w:rsid w:val="00834231"/>
    <w:rsid w:val="00834A44"/>
    <w:rsid w:val="00834CC5"/>
    <w:rsid w:val="00834EF3"/>
    <w:rsid w:val="00835364"/>
    <w:rsid w:val="0083611E"/>
    <w:rsid w:val="00836924"/>
    <w:rsid w:val="0083726D"/>
    <w:rsid w:val="00837409"/>
    <w:rsid w:val="00837B3A"/>
    <w:rsid w:val="00840073"/>
    <w:rsid w:val="008410C9"/>
    <w:rsid w:val="00841637"/>
    <w:rsid w:val="00841967"/>
    <w:rsid w:val="00841CB1"/>
    <w:rsid w:val="00841FE0"/>
    <w:rsid w:val="008427A7"/>
    <w:rsid w:val="0084299B"/>
    <w:rsid w:val="00842B37"/>
    <w:rsid w:val="00842B76"/>
    <w:rsid w:val="008439B3"/>
    <w:rsid w:val="00843EA9"/>
    <w:rsid w:val="00844024"/>
    <w:rsid w:val="008442EF"/>
    <w:rsid w:val="00844544"/>
    <w:rsid w:val="00844570"/>
    <w:rsid w:val="0084488F"/>
    <w:rsid w:val="0084552B"/>
    <w:rsid w:val="0084748E"/>
    <w:rsid w:val="00847BA5"/>
    <w:rsid w:val="0085002E"/>
    <w:rsid w:val="00850340"/>
    <w:rsid w:val="00850667"/>
    <w:rsid w:val="0085081A"/>
    <w:rsid w:val="00850988"/>
    <w:rsid w:val="00851EF9"/>
    <w:rsid w:val="008533E7"/>
    <w:rsid w:val="00853696"/>
    <w:rsid w:val="00855268"/>
    <w:rsid w:val="008556FE"/>
    <w:rsid w:val="0085592C"/>
    <w:rsid w:val="00856FEB"/>
    <w:rsid w:val="008578B0"/>
    <w:rsid w:val="00857E42"/>
    <w:rsid w:val="00860393"/>
    <w:rsid w:val="0086075A"/>
    <w:rsid w:val="00861250"/>
    <w:rsid w:val="00861BCA"/>
    <w:rsid w:val="00861C0C"/>
    <w:rsid w:val="00861FCB"/>
    <w:rsid w:val="008620BE"/>
    <w:rsid w:val="00862FE0"/>
    <w:rsid w:val="008633D0"/>
    <w:rsid w:val="00863D2C"/>
    <w:rsid w:val="00863F63"/>
    <w:rsid w:val="008670CE"/>
    <w:rsid w:val="008671DA"/>
    <w:rsid w:val="0086769D"/>
    <w:rsid w:val="00867747"/>
    <w:rsid w:val="00867A64"/>
    <w:rsid w:val="00867B85"/>
    <w:rsid w:val="00870036"/>
    <w:rsid w:val="00870676"/>
    <w:rsid w:val="008715D6"/>
    <w:rsid w:val="008716A2"/>
    <w:rsid w:val="00871906"/>
    <w:rsid w:val="00871F5A"/>
    <w:rsid w:val="008725BD"/>
    <w:rsid w:val="00872DE3"/>
    <w:rsid w:val="00873B64"/>
    <w:rsid w:val="00873E64"/>
    <w:rsid w:val="008741D5"/>
    <w:rsid w:val="00874478"/>
    <w:rsid w:val="00874D62"/>
    <w:rsid w:val="0087633C"/>
    <w:rsid w:val="00876679"/>
    <w:rsid w:val="00876AEE"/>
    <w:rsid w:val="00876C8B"/>
    <w:rsid w:val="008779B4"/>
    <w:rsid w:val="00877A48"/>
    <w:rsid w:val="008805D5"/>
    <w:rsid w:val="00880691"/>
    <w:rsid w:val="00880749"/>
    <w:rsid w:val="00881C5C"/>
    <w:rsid w:val="00881D5A"/>
    <w:rsid w:val="0088200D"/>
    <w:rsid w:val="00882B33"/>
    <w:rsid w:val="00884991"/>
    <w:rsid w:val="00884D92"/>
    <w:rsid w:val="0088543C"/>
    <w:rsid w:val="008854A4"/>
    <w:rsid w:val="0088553D"/>
    <w:rsid w:val="00885695"/>
    <w:rsid w:val="00885BBC"/>
    <w:rsid w:val="00887B33"/>
    <w:rsid w:val="008900F2"/>
    <w:rsid w:val="0089053B"/>
    <w:rsid w:val="00891328"/>
    <w:rsid w:val="00892B70"/>
    <w:rsid w:val="00892E76"/>
    <w:rsid w:val="008930A9"/>
    <w:rsid w:val="00893CC8"/>
    <w:rsid w:val="0089428B"/>
    <w:rsid w:val="008944D9"/>
    <w:rsid w:val="00894750"/>
    <w:rsid w:val="008952D3"/>
    <w:rsid w:val="008954D3"/>
    <w:rsid w:val="0089564B"/>
    <w:rsid w:val="008958E6"/>
    <w:rsid w:val="008959A4"/>
    <w:rsid w:val="00896321"/>
    <w:rsid w:val="00896A2B"/>
    <w:rsid w:val="008974BA"/>
    <w:rsid w:val="00897939"/>
    <w:rsid w:val="008979CB"/>
    <w:rsid w:val="00897AE3"/>
    <w:rsid w:val="00897AE7"/>
    <w:rsid w:val="008A0415"/>
    <w:rsid w:val="008A0A48"/>
    <w:rsid w:val="008A1B30"/>
    <w:rsid w:val="008A1CA7"/>
    <w:rsid w:val="008A1DA7"/>
    <w:rsid w:val="008A2285"/>
    <w:rsid w:val="008A236E"/>
    <w:rsid w:val="008A3186"/>
    <w:rsid w:val="008A3526"/>
    <w:rsid w:val="008A392D"/>
    <w:rsid w:val="008A3DA5"/>
    <w:rsid w:val="008A4BFD"/>
    <w:rsid w:val="008A5682"/>
    <w:rsid w:val="008A6923"/>
    <w:rsid w:val="008A788A"/>
    <w:rsid w:val="008B009B"/>
    <w:rsid w:val="008B0FB5"/>
    <w:rsid w:val="008B166E"/>
    <w:rsid w:val="008B17F8"/>
    <w:rsid w:val="008B1BB7"/>
    <w:rsid w:val="008B217D"/>
    <w:rsid w:val="008B2974"/>
    <w:rsid w:val="008B35E7"/>
    <w:rsid w:val="008B3C18"/>
    <w:rsid w:val="008B43DD"/>
    <w:rsid w:val="008B54B1"/>
    <w:rsid w:val="008B564C"/>
    <w:rsid w:val="008B58BC"/>
    <w:rsid w:val="008B5EDF"/>
    <w:rsid w:val="008B60C8"/>
    <w:rsid w:val="008B6730"/>
    <w:rsid w:val="008B6D7B"/>
    <w:rsid w:val="008B6EA9"/>
    <w:rsid w:val="008B70EC"/>
    <w:rsid w:val="008B7294"/>
    <w:rsid w:val="008B7547"/>
    <w:rsid w:val="008C0559"/>
    <w:rsid w:val="008C0C8E"/>
    <w:rsid w:val="008C19E1"/>
    <w:rsid w:val="008C30AB"/>
    <w:rsid w:val="008C3546"/>
    <w:rsid w:val="008C3E5D"/>
    <w:rsid w:val="008C3F18"/>
    <w:rsid w:val="008C4417"/>
    <w:rsid w:val="008C5F4E"/>
    <w:rsid w:val="008C6262"/>
    <w:rsid w:val="008C6673"/>
    <w:rsid w:val="008C67E6"/>
    <w:rsid w:val="008C6998"/>
    <w:rsid w:val="008C72BD"/>
    <w:rsid w:val="008C7E97"/>
    <w:rsid w:val="008D01D5"/>
    <w:rsid w:val="008D117D"/>
    <w:rsid w:val="008D15B4"/>
    <w:rsid w:val="008D17BF"/>
    <w:rsid w:val="008D192C"/>
    <w:rsid w:val="008D250E"/>
    <w:rsid w:val="008D3214"/>
    <w:rsid w:val="008D327D"/>
    <w:rsid w:val="008D32CD"/>
    <w:rsid w:val="008D471B"/>
    <w:rsid w:val="008D496D"/>
    <w:rsid w:val="008D4ACD"/>
    <w:rsid w:val="008D4B45"/>
    <w:rsid w:val="008D4F0D"/>
    <w:rsid w:val="008D6012"/>
    <w:rsid w:val="008D6BE5"/>
    <w:rsid w:val="008E0C7E"/>
    <w:rsid w:val="008E18F3"/>
    <w:rsid w:val="008E3127"/>
    <w:rsid w:val="008E52C2"/>
    <w:rsid w:val="008E6666"/>
    <w:rsid w:val="008E7A22"/>
    <w:rsid w:val="008E7ECF"/>
    <w:rsid w:val="008F02D5"/>
    <w:rsid w:val="008F06E2"/>
    <w:rsid w:val="008F083E"/>
    <w:rsid w:val="008F1F0F"/>
    <w:rsid w:val="008F2CDF"/>
    <w:rsid w:val="008F2E81"/>
    <w:rsid w:val="008F2FB0"/>
    <w:rsid w:val="008F3424"/>
    <w:rsid w:val="008F38BF"/>
    <w:rsid w:val="008F4195"/>
    <w:rsid w:val="008F5123"/>
    <w:rsid w:val="008F53CD"/>
    <w:rsid w:val="008F5A5B"/>
    <w:rsid w:val="008F6376"/>
    <w:rsid w:val="008F63C4"/>
    <w:rsid w:val="008F6DCC"/>
    <w:rsid w:val="008F717F"/>
    <w:rsid w:val="008F7551"/>
    <w:rsid w:val="008F7CE5"/>
    <w:rsid w:val="0090159D"/>
    <w:rsid w:val="0090165F"/>
    <w:rsid w:val="00901B2F"/>
    <w:rsid w:val="00901DF1"/>
    <w:rsid w:val="0090278F"/>
    <w:rsid w:val="00902BDF"/>
    <w:rsid w:val="009039E0"/>
    <w:rsid w:val="00903A58"/>
    <w:rsid w:val="009049EE"/>
    <w:rsid w:val="00906556"/>
    <w:rsid w:val="00910422"/>
    <w:rsid w:val="00910547"/>
    <w:rsid w:val="00910AF9"/>
    <w:rsid w:val="00911E73"/>
    <w:rsid w:val="00912554"/>
    <w:rsid w:val="00912DCD"/>
    <w:rsid w:val="00912FFC"/>
    <w:rsid w:val="00913804"/>
    <w:rsid w:val="00913832"/>
    <w:rsid w:val="009146D2"/>
    <w:rsid w:val="00914E25"/>
    <w:rsid w:val="0091525E"/>
    <w:rsid w:val="00915552"/>
    <w:rsid w:val="0091565E"/>
    <w:rsid w:val="00915BC5"/>
    <w:rsid w:val="00917522"/>
    <w:rsid w:val="00917946"/>
    <w:rsid w:val="00917F96"/>
    <w:rsid w:val="0092000C"/>
    <w:rsid w:val="00921E43"/>
    <w:rsid w:val="00921F23"/>
    <w:rsid w:val="009222FF"/>
    <w:rsid w:val="0092266F"/>
    <w:rsid w:val="00922928"/>
    <w:rsid w:val="00924150"/>
    <w:rsid w:val="009248D9"/>
    <w:rsid w:val="0092576C"/>
    <w:rsid w:val="00925E5D"/>
    <w:rsid w:val="0092728C"/>
    <w:rsid w:val="00927582"/>
    <w:rsid w:val="00927D3C"/>
    <w:rsid w:val="0093062C"/>
    <w:rsid w:val="00931973"/>
    <w:rsid w:val="0093215F"/>
    <w:rsid w:val="0093344E"/>
    <w:rsid w:val="00934320"/>
    <w:rsid w:val="0093436B"/>
    <w:rsid w:val="009343B8"/>
    <w:rsid w:val="0093477C"/>
    <w:rsid w:val="00934915"/>
    <w:rsid w:val="00934ACF"/>
    <w:rsid w:val="00934B4A"/>
    <w:rsid w:val="009355CA"/>
    <w:rsid w:val="00936535"/>
    <w:rsid w:val="0093682E"/>
    <w:rsid w:val="00936EDA"/>
    <w:rsid w:val="009370FA"/>
    <w:rsid w:val="00937366"/>
    <w:rsid w:val="009376BE"/>
    <w:rsid w:val="009377A1"/>
    <w:rsid w:val="00937936"/>
    <w:rsid w:val="00937A82"/>
    <w:rsid w:val="00937B4C"/>
    <w:rsid w:val="00941227"/>
    <w:rsid w:val="00941552"/>
    <w:rsid w:val="009422D6"/>
    <w:rsid w:val="0094281E"/>
    <w:rsid w:val="00942B2C"/>
    <w:rsid w:val="00943787"/>
    <w:rsid w:val="00943EA1"/>
    <w:rsid w:val="00944CDB"/>
    <w:rsid w:val="00944D25"/>
    <w:rsid w:val="0094594A"/>
    <w:rsid w:val="00946C42"/>
    <w:rsid w:val="00946D63"/>
    <w:rsid w:val="00947F1A"/>
    <w:rsid w:val="00950ADF"/>
    <w:rsid w:val="00950E6F"/>
    <w:rsid w:val="00951D13"/>
    <w:rsid w:val="00951D26"/>
    <w:rsid w:val="00951F4B"/>
    <w:rsid w:val="009521BD"/>
    <w:rsid w:val="00953B94"/>
    <w:rsid w:val="00953DB2"/>
    <w:rsid w:val="00954110"/>
    <w:rsid w:val="009543E8"/>
    <w:rsid w:val="00954EC7"/>
    <w:rsid w:val="009550B9"/>
    <w:rsid w:val="00955350"/>
    <w:rsid w:val="00955958"/>
    <w:rsid w:val="00955CCC"/>
    <w:rsid w:val="00956006"/>
    <w:rsid w:val="00957263"/>
    <w:rsid w:val="00957C0C"/>
    <w:rsid w:val="00957D91"/>
    <w:rsid w:val="00961653"/>
    <w:rsid w:val="00962BC8"/>
    <w:rsid w:val="00963622"/>
    <w:rsid w:val="00963873"/>
    <w:rsid w:val="00964328"/>
    <w:rsid w:val="009647F4"/>
    <w:rsid w:val="009660E0"/>
    <w:rsid w:val="0096613F"/>
    <w:rsid w:val="0096631B"/>
    <w:rsid w:val="00967D7B"/>
    <w:rsid w:val="00971841"/>
    <w:rsid w:val="00971ABC"/>
    <w:rsid w:val="00971BB5"/>
    <w:rsid w:val="00972399"/>
    <w:rsid w:val="0097317C"/>
    <w:rsid w:val="00973505"/>
    <w:rsid w:val="00973F6B"/>
    <w:rsid w:val="009746AC"/>
    <w:rsid w:val="009747B6"/>
    <w:rsid w:val="00974CEC"/>
    <w:rsid w:val="00975B1D"/>
    <w:rsid w:val="00975FD0"/>
    <w:rsid w:val="0097655F"/>
    <w:rsid w:val="00976C1D"/>
    <w:rsid w:val="00976FC8"/>
    <w:rsid w:val="00977371"/>
    <w:rsid w:val="00977748"/>
    <w:rsid w:val="009777C1"/>
    <w:rsid w:val="009810B7"/>
    <w:rsid w:val="00981222"/>
    <w:rsid w:val="009815D7"/>
    <w:rsid w:val="009839E9"/>
    <w:rsid w:val="00983EB4"/>
    <w:rsid w:val="00983EF1"/>
    <w:rsid w:val="00984C60"/>
    <w:rsid w:val="00984F39"/>
    <w:rsid w:val="009851C2"/>
    <w:rsid w:val="009858A5"/>
    <w:rsid w:val="009858BD"/>
    <w:rsid w:val="00985A27"/>
    <w:rsid w:val="00985EA8"/>
    <w:rsid w:val="00986625"/>
    <w:rsid w:val="00986AB4"/>
    <w:rsid w:val="00986D84"/>
    <w:rsid w:val="00987500"/>
    <w:rsid w:val="00987764"/>
    <w:rsid w:val="0099009A"/>
    <w:rsid w:val="009903F3"/>
    <w:rsid w:val="009908D5"/>
    <w:rsid w:val="00991551"/>
    <w:rsid w:val="00991ECE"/>
    <w:rsid w:val="009926D3"/>
    <w:rsid w:val="00993595"/>
    <w:rsid w:val="00993A20"/>
    <w:rsid w:val="009941FE"/>
    <w:rsid w:val="0099438E"/>
    <w:rsid w:val="00994B88"/>
    <w:rsid w:val="00994D30"/>
    <w:rsid w:val="00995273"/>
    <w:rsid w:val="009960DB"/>
    <w:rsid w:val="0099612B"/>
    <w:rsid w:val="0099644F"/>
    <w:rsid w:val="00996746"/>
    <w:rsid w:val="00996C30"/>
    <w:rsid w:val="00997199"/>
    <w:rsid w:val="0099761B"/>
    <w:rsid w:val="009A057D"/>
    <w:rsid w:val="009A1428"/>
    <w:rsid w:val="009A1A87"/>
    <w:rsid w:val="009A2452"/>
    <w:rsid w:val="009A25FB"/>
    <w:rsid w:val="009A26CF"/>
    <w:rsid w:val="009A312E"/>
    <w:rsid w:val="009A42FF"/>
    <w:rsid w:val="009A4BDC"/>
    <w:rsid w:val="009A4E5A"/>
    <w:rsid w:val="009A5613"/>
    <w:rsid w:val="009A5CB4"/>
    <w:rsid w:val="009A75B4"/>
    <w:rsid w:val="009A79AD"/>
    <w:rsid w:val="009B09CA"/>
    <w:rsid w:val="009B0CFC"/>
    <w:rsid w:val="009B0FB9"/>
    <w:rsid w:val="009B1184"/>
    <w:rsid w:val="009B1CD0"/>
    <w:rsid w:val="009B1FA6"/>
    <w:rsid w:val="009B2720"/>
    <w:rsid w:val="009B2CFC"/>
    <w:rsid w:val="009B2ED7"/>
    <w:rsid w:val="009B3DFC"/>
    <w:rsid w:val="009B436F"/>
    <w:rsid w:val="009B5016"/>
    <w:rsid w:val="009B54D4"/>
    <w:rsid w:val="009B6746"/>
    <w:rsid w:val="009B6B05"/>
    <w:rsid w:val="009B7B3F"/>
    <w:rsid w:val="009C082F"/>
    <w:rsid w:val="009C0B5F"/>
    <w:rsid w:val="009C0F8A"/>
    <w:rsid w:val="009C20C4"/>
    <w:rsid w:val="009C2980"/>
    <w:rsid w:val="009C2BDA"/>
    <w:rsid w:val="009C38E7"/>
    <w:rsid w:val="009C513F"/>
    <w:rsid w:val="009C5A1C"/>
    <w:rsid w:val="009C62CC"/>
    <w:rsid w:val="009C702C"/>
    <w:rsid w:val="009C7749"/>
    <w:rsid w:val="009C7AC2"/>
    <w:rsid w:val="009C7BAB"/>
    <w:rsid w:val="009C7DA9"/>
    <w:rsid w:val="009D0B04"/>
    <w:rsid w:val="009D1415"/>
    <w:rsid w:val="009D145B"/>
    <w:rsid w:val="009D22B2"/>
    <w:rsid w:val="009D2B19"/>
    <w:rsid w:val="009D2FE2"/>
    <w:rsid w:val="009D3443"/>
    <w:rsid w:val="009D36F6"/>
    <w:rsid w:val="009D44F1"/>
    <w:rsid w:val="009D51ED"/>
    <w:rsid w:val="009D53F8"/>
    <w:rsid w:val="009D5AC2"/>
    <w:rsid w:val="009D5C33"/>
    <w:rsid w:val="009D6E7C"/>
    <w:rsid w:val="009D6F5C"/>
    <w:rsid w:val="009D729D"/>
    <w:rsid w:val="009D72B8"/>
    <w:rsid w:val="009D7AB0"/>
    <w:rsid w:val="009E008C"/>
    <w:rsid w:val="009E1B87"/>
    <w:rsid w:val="009E2634"/>
    <w:rsid w:val="009E2994"/>
    <w:rsid w:val="009E3231"/>
    <w:rsid w:val="009E33C8"/>
    <w:rsid w:val="009E48D1"/>
    <w:rsid w:val="009E491C"/>
    <w:rsid w:val="009E4AD3"/>
    <w:rsid w:val="009E5738"/>
    <w:rsid w:val="009E5C6E"/>
    <w:rsid w:val="009E5CFE"/>
    <w:rsid w:val="009E5D30"/>
    <w:rsid w:val="009E676B"/>
    <w:rsid w:val="009E6E82"/>
    <w:rsid w:val="009E732A"/>
    <w:rsid w:val="009E79B4"/>
    <w:rsid w:val="009E7CA5"/>
    <w:rsid w:val="009E7E37"/>
    <w:rsid w:val="009F124A"/>
    <w:rsid w:val="009F1F17"/>
    <w:rsid w:val="009F1F6A"/>
    <w:rsid w:val="009F22BF"/>
    <w:rsid w:val="009F2473"/>
    <w:rsid w:val="009F31BD"/>
    <w:rsid w:val="009F35A4"/>
    <w:rsid w:val="009F4B47"/>
    <w:rsid w:val="009F584F"/>
    <w:rsid w:val="009F5D75"/>
    <w:rsid w:val="009F651F"/>
    <w:rsid w:val="009F7F44"/>
    <w:rsid w:val="00A00D2A"/>
    <w:rsid w:val="00A01F2A"/>
    <w:rsid w:val="00A020A4"/>
    <w:rsid w:val="00A04B1D"/>
    <w:rsid w:val="00A0596E"/>
    <w:rsid w:val="00A06A55"/>
    <w:rsid w:val="00A07CCF"/>
    <w:rsid w:val="00A07E2C"/>
    <w:rsid w:val="00A13861"/>
    <w:rsid w:val="00A1481A"/>
    <w:rsid w:val="00A149EA"/>
    <w:rsid w:val="00A14C7B"/>
    <w:rsid w:val="00A14CD3"/>
    <w:rsid w:val="00A14FBE"/>
    <w:rsid w:val="00A15455"/>
    <w:rsid w:val="00A155E0"/>
    <w:rsid w:val="00A16C9C"/>
    <w:rsid w:val="00A2090C"/>
    <w:rsid w:val="00A20D04"/>
    <w:rsid w:val="00A213A0"/>
    <w:rsid w:val="00A21989"/>
    <w:rsid w:val="00A225D0"/>
    <w:rsid w:val="00A2265C"/>
    <w:rsid w:val="00A22AC6"/>
    <w:rsid w:val="00A22AF4"/>
    <w:rsid w:val="00A23052"/>
    <w:rsid w:val="00A23704"/>
    <w:rsid w:val="00A23FDC"/>
    <w:rsid w:val="00A24548"/>
    <w:rsid w:val="00A2475C"/>
    <w:rsid w:val="00A24B0B"/>
    <w:rsid w:val="00A257B1"/>
    <w:rsid w:val="00A25828"/>
    <w:rsid w:val="00A264B0"/>
    <w:rsid w:val="00A3015F"/>
    <w:rsid w:val="00A301F1"/>
    <w:rsid w:val="00A32143"/>
    <w:rsid w:val="00A33307"/>
    <w:rsid w:val="00A33842"/>
    <w:rsid w:val="00A33BBC"/>
    <w:rsid w:val="00A3485F"/>
    <w:rsid w:val="00A353D1"/>
    <w:rsid w:val="00A35D57"/>
    <w:rsid w:val="00A364A1"/>
    <w:rsid w:val="00A36CD0"/>
    <w:rsid w:val="00A36CDD"/>
    <w:rsid w:val="00A36DF9"/>
    <w:rsid w:val="00A37202"/>
    <w:rsid w:val="00A37522"/>
    <w:rsid w:val="00A37C04"/>
    <w:rsid w:val="00A37DDE"/>
    <w:rsid w:val="00A37E3B"/>
    <w:rsid w:val="00A407EC"/>
    <w:rsid w:val="00A40C47"/>
    <w:rsid w:val="00A40D1E"/>
    <w:rsid w:val="00A41654"/>
    <w:rsid w:val="00A41F04"/>
    <w:rsid w:val="00A42529"/>
    <w:rsid w:val="00A42795"/>
    <w:rsid w:val="00A427E5"/>
    <w:rsid w:val="00A42C99"/>
    <w:rsid w:val="00A42F75"/>
    <w:rsid w:val="00A4360B"/>
    <w:rsid w:val="00A449AD"/>
    <w:rsid w:val="00A4725E"/>
    <w:rsid w:val="00A5013B"/>
    <w:rsid w:val="00A5185F"/>
    <w:rsid w:val="00A51DFE"/>
    <w:rsid w:val="00A535A5"/>
    <w:rsid w:val="00A539F7"/>
    <w:rsid w:val="00A53A5E"/>
    <w:rsid w:val="00A53C2A"/>
    <w:rsid w:val="00A54198"/>
    <w:rsid w:val="00A54427"/>
    <w:rsid w:val="00A554C9"/>
    <w:rsid w:val="00A55E0A"/>
    <w:rsid w:val="00A569F6"/>
    <w:rsid w:val="00A5711B"/>
    <w:rsid w:val="00A5723A"/>
    <w:rsid w:val="00A57345"/>
    <w:rsid w:val="00A574D2"/>
    <w:rsid w:val="00A5774B"/>
    <w:rsid w:val="00A60300"/>
    <w:rsid w:val="00A60329"/>
    <w:rsid w:val="00A60703"/>
    <w:rsid w:val="00A60887"/>
    <w:rsid w:val="00A60BEF"/>
    <w:rsid w:val="00A633FE"/>
    <w:rsid w:val="00A63A5A"/>
    <w:rsid w:val="00A63F43"/>
    <w:rsid w:val="00A6486E"/>
    <w:rsid w:val="00A65036"/>
    <w:rsid w:val="00A666B9"/>
    <w:rsid w:val="00A668DB"/>
    <w:rsid w:val="00A6754F"/>
    <w:rsid w:val="00A6764B"/>
    <w:rsid w:val="00A70380"/>
    <w:rsid w:val="00A707C8"/>
    <w:rsid w:val="00A717C2"/>
    <w:rsid w:val="00A7222A"/>
    <w:rsid w:val="00A72CA7"/>
    <w:rsid w:val="00A7379E"/>
    <w:rsid w:val="00A7430E"/>
    <w:rsid w:val="00A74736"/>
    <w:rsid w:val="00A75098"/>
    <w:rsid w:val="00A754A4"/>
    <w:rsid w:val="00A767E4"/>
    <w:rsid w:val="00A77CEE"/>
    <w:rsid w:val="00A77F00"/>
    <w:rsid w:val="00A802F1"/>
    <w:rsid w:val="00A80C51"/>
    <w:rsid w:val="00A8163B"/>
    <w:rsid w:val="00A81C56"/>
    <w:rsid w:val="00A81DF5"/>
    <w:rsid w:val="00A824D3"/>
    <w:rsid w:val="00A826D0"/>
    <w:rsid w:val="00A8379D"/>
    <w:rsid w:val="00A83A55"/>
    <w:rsid w:val="00A83E07"/>
    <w:rsid w:val="00A8445E"/>
    <w:rsid w:val="00A84B7D"/>
    <w:rsid w:val="00A84CEB"/>
    <w:rsid w:val="00A84E31"/>
    <w:rsid w:val="00A87466"/>
    <w:rsid w:val="00A87616"/>
    <w:rsid w:val="00A902D5"/>
    <w:rsid w:val="00A9076B"/>
    <w:rsid w:val="00A9148E"/>
    <w:rsid w:val="00A918F7"/>
    <w:rsid w:val="00A91ADC"/>
    <w:rsid w:val="00A9216D"/>
    <w:rsid w:val="00A9310C"/>
    <w:rsid w:val="00A933E2"/>
    <w:rsid w:val="00A93B6F"/>
    <w:rsid w:val="00A93DB6"/>
    <w:rsid w:val="00A94B8A"/>
    <w:rsid w:val="00A94E56"/>
    <w:rsid w:val="00A9503C"/>
    <w:rsid w:val="00A966BA"/>
    <w:rsid w:val="00A9678B"/>
    <w:rsid w:val="00A96901"/>
    <w:rsid w:val="00A96CBB"/>
    <w:rsid w:val="00A976A1"/>
    <w:rsid w:val="00AA0DF0"/>
    <w:rsid w:val="00AA15A6"/>
    <w:rsid w:val="00AA24BD"/>
    <w:rsid w:val="00AA26A2"/>
    <w:rsid w:val="00AA2B32"/>
    <w:rsid w:val="00AA2B8E"/>
    <w:rsid w:val="00AA2BA4"/>
    <w:rsid w:val="00AA35A0"/>
    <w:rsid w:val="00AA3661"/>
    <w:rsid w:val="00AA4653"/>
    <w:rsid w:val="00AA479E"/>
    <w:rsid w:val="00AA484B"/>
    <w:rsid w:val="00AA4BE8"/>
    <w:rsid w:val="00AA51F1"/>
    <w:rsid w:val="00AA5D18"/>
    <w:rsid w:val="00AA5E89"/>
    <w:rsid w:val="00AA6317"/>
    <w:rsid w:val="00AA68A3"/>
    <w:rsid w:val="00AA6C48"/>
    <w:rsid w:val="00AA6FE5"/>
    <w:rsid w:val="00AA724A"/>
    <w:rsid w:val="00AA750C"/>
    <w:rsid w:val="00AB0244"/>
    <w:rsid w:val="00AB060F"/>
    <w:rsid w:val="00AB06D9"/>
    <w:rsid w:val="00AB1816"/>
    <w:rsid w:val="00AB1839"/>
    <w:rsid w:val="00AB19E0"/>
    <w:rsid w:val="00AB2342"/>
    <w:rsid w:val="00AB2BC4"/>
    <w:rsid w:val="00AB2DEF"/>
    <w:rsid w:val="00AB2F0A"/>
    <w:rsid w:val="00AB357D"/>
    <w:rsid w:val="00AB39F4"/>
    <w:rsid w:val="00AB407E"/>
    <w:rsid w:val="00AB432B"/>
    <w:rsid w:val="00AB45A2"/>
    <w:rsid w:val="00AB4BE9"/>
    <w:rsid w:val="00AB4F1F"/>
    <w:rsid w:val="00AB5066"/>
    <w:rsid w:val="00AB5138"/>
    <w:rsid w:val="00AB7224"/>
    <w:rsid w:val="00AB78E1"/>
    <w:rsid w:val="00AB7C92"/>
    <w:rsid w:val="00AB7D59"/>
    <w:rsid w:val="00AB7DB4"/>
    <w:rsid w:val="00AC0375"/>
    <w:rsid w:val="00AC070C"/>
    <w:rsid w:val="00AC0FFF"/>
    <w:rsid w:val="00AC13B7"/>
    <w:rsid w:val="00AC19D7"/>
    <w:rsid w:val="00AC1F9E"/>
    <w:rsid w:val="00AC26A5"/>
    <w:rsid w:val="00AC2747"/>
    <w:rsid w:val="00AC2784"/>
    <w:rsid w:val="00AC319B"/>
    <w:rsid w:val="00AC4E3B"/>
    <w:rsid w:val="00AC5187"/>
    <w:rsid w:val="00AC57F4"/>
    <w:rsid w:val="00AC5B66"/>
    <w:rsid w:val="00AC637C"/>
    <w:rsid w:val="00AC7C8F"/>
    <w:rsid w:val="00AC7E73"/>
    <w:rsid w:val="00AC7F58"/>
    <w:rsid w:val="00AD01F3"/>
    <w:rsid w:val="00AD08BC"/>
    <w:rsid w:val="00AD151A"/>
    <w:rsid w:val="00AD1837"/>
    <w:rsid w:val="00AD2E29"/>
    <w:rsid w:val="00AD2F00"/>
    <w:rsid w:val="00AD41BC"/>
    <w:rsid w:val="00AD4644"/>
    <w:rsid w:val="00AD473B"/>
    <w:rsid w:val="00AD47DA"/>
    <w:rsid w:val="00AD4CA3"/>
    <w:rsid w:val="00AD642F"/>
    <w:rsid w:val="00AD75A2"/>
    <w:rsid w:val="00AD79ED"/>
    <w:rsid w:val="00AD7C52"/>
    <w:rsid w:val="00AE0D3D"/>
    <w:rsid w:val="00AE0FA1"/>
    <w:rsid w:val="00AE3230"/>
    <w:rsid w:val="00AE3995"/>
    <w:rsid w:val="00AE4001"/>
    <w:rsid w:val="00AE4650"/>
    <w:rsid w:val="00AE4BA5"/>
    <w:rsid w:val="00AE4CFA"/>
    <w:rsid w:val="00AE5272"/>
    <w:rsid w:val="00AE5C6E"/>
    <w:rsid w:val="00AE634E"/>
    <w:rsid w:val="00AE7CA9"/>
    <w:rsid w:val="00AF012B"/>
    <w:rsid w:val="00AF1418"/>
    <w:rsid w:val="00AF1D10"/>
    <w:rsid w:val="00AF492B"/>
    <w:rsid w:val="00AF4B03"/>
    <w:rsid w:val="00AF5A18"/>
    <w:rsid w:val="00AF662B"/>
    <w:rsid w:val="00AF6BB6"/>
    <w:rsid w:val="00AF7053"/>
    <w:rsid w:val="00AF782E"/>
    <w:rsid w:val="00AF7CDF"/>
    <w:rsid w:val="00B01371"/>
    <w:rsid w:val="00B01682"/>
    <w:rsid w:val="00B02E3E"/>
    <w:rsid w:val="00B03069"/>
    <w:rsid w:val="00B03952"/>
    <w:rsid w:val="00B03A53"/>
    <w:rsid w:val="00B03D2C"/>
    <w:rsid w:val="00B04EFF"/>
    <w:rsid w:val="00B050DC"/>
    <w:rsid w:val="00B054A6"/>
    <w:rsid w:val="00B06833"/>
    <w:rsid w:val="00B06AEA"/>
    <w:rsid w:val="00B06DB3"/>
    <w:rsid w:val="00B07553"/>
    <w:rsid w:val="00B10B25"/>
    <w:rsid w:val="00B10D2A"/>
    <w:rsid w:val="00B10D56"/>
    <w:rsid w:val="00B11572"/>
    <w:rsid w:val="00B13225"/>
    <w:rsid w:val="00B13A3E"/>
    <w:rsid w:val="00B13C2A"/>
    <w:rsid w:val="00B14C3B"/>
    <w:rsid w:val="00B14D9B"/>
    <w:rsid w:val="00B15DBB"/>
    <w:rsid w:val="00B169F5"/>
    <w:rsid w:val="00B16A22"/>
    <w:rsid w:val="00B16AE4"/>
    <w:rsid w:val="00B17215"/>
    <w:rsid w:val="00B178CE"/>
    <w:rsid w:val="00B179E4"/>
    <w:rsid w:val="00B17CAC"/>
    <w:rsid w:val="00B218EF"/>
    <w:rsid w:val="00B226D5"/>
    <w:rsid w:val="00B22718"/>
    <w:rsid w:val="00B23219"/>
    <w:rsid w:val="00B232FF"/>
    <w:rsid w:val="00B2415F"/>
    <w:rsid w:val="00B24167"/>
    <w:rsid w:val="00B24239"/>
    <w:rsid w:val="00B2482F"/>
    <w:rsid w:val="00B24B35"/>
    <w:rsid w:val="00B25553"/>
    <w:rsid w:val="00B26C12"/>
    <w:rsid w:val="00B26D5B"/>
    <w:rsid w:val="00B27183"/>
    <w:rsid w:val="00B304C8"/>
    <w:rsid w:val="00B313DB"/>
    <w:rsid w:val="00B31FA4"/>
    <w:rsid w:val="00B3211A"/>
    <w:rsid w:val="00B32F52"/>
    <w:rsid w:val="00B33070"/>
    <w:rsid w:val="00B34706"/>
    <w:rsid w:val="00B34A26"/>
    <w:rsid w:val="00B34B4D"/>
    <w:rsid w:val="00B34CA3"/>
    <w:rsid w:val="00B3528E"/>
    <w:rsid w:val="00B355DE"/>
    <w:rsid w:val="00B35E0E"/>
    <w:rsid w:val="00B3649B"/>
    <w:rsid w:val="00B3718F"/>
    <w:rsid w:val="00B403CD"/>
    <w:rsid w:val="00B40DD8"/>
    <w:rsid w:val="00B41174"/>
    <w:rsid w:val="00B4130C"/>
    <w:rsid w:val="00B42405"/>
    <w:rsid w:val="00B43A5E"/>
    <w:rsid w:val="00B44D9D"/>
    <w:rsid w:val="00B46484"/>
    <w:rsid w:val="00B467DB"/>
    <w:rsid w:val="00B46836"/>
    <w:rsid w:val="00B46861"/>
    <w:rsid w:val="00B46883"/>
    <w:rsid w:val="00B47314"/>
    <w:rsid w:val="00B47AFB"/>
    <w:rsid w:val="00B47CF8"/>
    <w:rsid w:val="00B513F5"/>
    <w:rsid w:val="00B525D7"/>
    <w:rsid w:val="00B54A48"/>
    <w:rsid w:val="00B54F4C"/>
    <w:rsid w:val="00B55EA5"/>
    <w:rsid w:val="00B5634D"/>
    <w:rsid w:val="00B5670A"/>
    <w:rsid w:val="00B567E0"/>
    <w:rsid w:val="00B56939"/>
    <w:rsid w:val="00B56C46"/>
    <w:rsid w:val="00B57A37"/>
    <w:rsid w:val="00B60337"/>
    <w:rsid w:val="00B61C05"/>
    <w:rsid w:val="00B625A4"/>
    <w:rsid w:val="00B639C1"/>
    <w:rsid w:val="00B63DAE"/>
    <w:rsid w:val="00B64018"/>
    <w:rsid w:val="00B64175"/>
    <w:rsid w:val="00B6469E"/>
    <w:rsid w:val="00B6491D"/>
    <w:rsid w:val="00B64B47"/>
    <w:rsid w:val="00B651E0"/>
    <w:rsid w:val="00B6707D"/>
    <w:rsid w:val="00B670BA"/>
    <w:rsid w:val="00B67191"/>
    <w:rsid w:val="00B67F1B"/>
    <w:rsid w:val="00B70151"/>
    <w:rsid w:val="00B71C5B"/>
    <w:rsid w:val="00B728FC"/>
    <w:rsid w:val="00B737D5"/>
    <w:rsid w:val="00B738D4"/>
    <w:rsid w:val="00B74183"/>
    <w:rsid w:val="00B74842"/>
    <w:rsid w:val="00B74BF1"/>
    <w:rsid w:val="00B75C59"/>
    <w:rsid w:val="00B75E95"/>
    <w:rsid w:val="00B75EE4"/>
    <w:rsid w:val="00B77FE2"/>
    <w:rsid w:val="00B8031C"/>
    <w:rsid w:val="00B8062E"/>
    <w:rsid w:val="00B80B1A"/>
    <w:rsid w:val="00B80C35"/>
    <w:rsid w:val="00B81D58"/>
    <w:rsid w:val="00B831F5"/>
    <w:rsid w:val="00B833FA"/>
    <w:rsid w:val="00B838E2"/>
    <w:rsid w:val="00B840AD"/>
    <w:rsid w:val="00B8448F"/>
    <w:rsid w:val="00B85101"/>
    <w:rsid w:val="00B85660"/>
    <w:rsid w:val="00B878A5"/>
    <w:rsid w:val="00B87AC2"/>
    <w:rsid w:val="00B87CE8"/>
    <w:rsid w:val="00B909B1"/>
    <w:rsid w:val="00B90D36"/>
    <w:rsid w:val="00B912B7"/>
    <w:rsid w:val="00B913CD"/>
    <w:rsid w:val="00B916D5"/>
    <w:rsid w:val="00B9171E"/>
    <w:rsid w:val="00B91B5C"/>
    <w:rsid w:val="00B9246A"/>
    <w:rsid w:val="00B93029"/>
    <w:rsid w:val="00B9385A"/>
    <w:rsid w:val="00B93E4D"/>
    <w:rsid w:val="00B94719"/>
    <w:rsid w:val="00B95757"/>
    <w:rsid w:val="00B95799"/>
    <w:rsid w:val="00B95E77"/>
    <w:rsid w:val="00B96BCA"/>
    <w:rsid w:val="00B96F1E"/>
    <w:rsid w:val="00B97F68"/>
    <w:rsid w:val="00BA0E32"/>
    <w:rsid w:val="00BA0EA0"/>
    <w:rsid w:val="00BA1A82"/>
    <w:rsid w:val="00BA1AB6"/>
    <w:rsid w:val="00BA240A"/>
    <w:rsid w:val="00BA245D"/>
    <w:rsid w:val="00BA2D61"/>
    <w:rsid w:val="00BA32AC"/>
    <w:rsid w:val="00BA3750"/>
    <w:rsid w:val="00BA4B11"/>
    <w:rsid w:val="00BA5A68"/>
    <w:rsid w:val="00BA5AA7"/>
    <w:rsid w:val="00BA5E18"/>
    <w:rsid w:val="00BA5F56"/>
    <w:rsid w:val="00BA61B4"/>
    <w:rsid w:val="00BA6B8C"/>
    <w:rsid w:val="00BA7792"/>
    <w:rsid w:val="00BB000C"/>
    <w:rsid w:val="00BB0155"/>
    <w:rsid w:val="00BB279A"/>
    <w:rsid w:val="00BB2BBA"/>
    <w:rsid w:val="00BB3FAA"/>
    <w:rsid w:val="00BB4B61"/>
    <w:rsid w:val="00BB51AF"/>
    <w:rsid w:val="00BB5AD7"/>
    <w:rsid w:val="00BB60DE"/>
    <w:rsid w:val="00BB622B"/>
    <w:rsid w:val="00BB62A0"/>
    <w:rsid w:val="00BB68E1"/>
    <w:rsid w:val="00BB6A29"/>
    <w:rsid w:val="00BB6C40"/>
    <w:rsid w:val="00BB6C50"/>
    <w:rsid w:val="00BC232C"/>
    <w:rsid w:val="00BC2870"/>
    <w:rsid w:val="00BC28F8"/>
    <w:rsid w:val="00BC2E9E"/>
    <w:rsid w:val="00BC3EB8"/>
    <w:rsid w:val="00BC5491"/>
    <w:rsid w:val="00BC55D2"/>
    <w:rsid w:val="00BC6533"/>
    <w:rsid w:val="00BC6A28"/>
    <w:rsid w:val="00BC6C47"/>
    <w:rsid w:val="00BC7A84"/>
    <w:rsid w:val="00BC7E3D"/>
    <w:rsid w:val="00BC7F19"/>
    <w:rsid w:val="00BD1709"/>
    <w:rsid w:val="00BD1EC6"/>
    <w:rsid w:val="00BD1FE2"/>
    <w:rsid w:val="00BD25F8"/>
    <w:rsid w:val="00BD34C7"/>
    <w:rsid w:val="00BD48AA"/>
    <w:rsid w:val="00BD6D56"/>
    <w:rsid w:val="00BD6F68"/>
    <w:rsid w:val="00BD7AFD"/>
    <w:rsid w:val="00BE0D3A"/>
    <w:rsid w:val="00BE11EA"/>
    <w:rsid w:val="00BE36D4"/>
    <w:rsid w:val="00BE3EED"/>
    <w:rsid w:val="00BE4234"/>
    <w:rsid w:val="00BE45FE"/>
    <w:rsid w:val="00BE50B2"/>
    <w:rsid w:val="00BE5929"/>
    <w:rsid w:val="00BE6FE4"/>
    <w:rsid w:val="00BE7948"/>
    <w:rsid w:val="00BE7AA2"/>
    <w:rsid w:val="00BF0B9A"/>
    <w:rsid w:val="00BF0EA7"/>
    <w:rsid w:val="00BF1260"/>
    <w:rsid w:val="00BF12A7"/>
    <w:rsid w:val="00BF1A57"/>
    <w:rsid w:val="00BF1D03"/>
    <w:rsid w:val="00BF37F6"/>
    <w:rsid w:val="00BF5641"/>
    <w:rsid w:val="00BF5D2C"/>
    <w:rsid w:val="00BF5E1E"/>
    <w:rsid w:val="00C00E4F"/>
    <w:rsid w:val="00C01689"/>
    <w:rsid w:val="00C01C8A"/>
    <w:rsid w:val="00C02062"/>
    <w:rsid w:val="00C035F9"/>
    <w:rsid w:val="00C039E3"/>
    <w:rsid w:val="00C05030"/>
    <w:rsid w:val="00C05F5D"/>
    <w:rsid w:val="00C06674"/>
    <w:rsid w:val="00C06ABF"/>
    <w:rsid w:val="00C06C23"/>
    <w:rsid w:val="00C06FA4"/>
    <w:rsid w:val="00C07027"/>
    <w:rsid w:val="00C074D0"/>
    <w:rsid w:val="00C100A9"/>
    <w:rsid w:val="00C10D15"/>
    <w:rsid w:val="00C10EDE"/>
    <w:rsid w:val="00C117CE"/>
    <w:rsid w:val="00C11866"/>
    <w:rsid w:val="00C11B5B"/>
    <w:rsid w:val="00C11F71"/>
    <w:rsid w:val="00C12D52"/>
    <w:rsid w:val="00C13889"/>
    <w:rsid w:val="00C14005"/>
    <w:rsid w:val="00C14BB3"/>
    <w:rsid w:val="00C14CA6"/>
    <w:rsid w:val="00C14F91"/>
    <w:rsid w:val="00C1561E"/>
    <w:rsid w:val="00C20148"/>
    <w:rsid w:val="00C20B2E"/>
    <w:rsid w:val="00C22606"/>
    <w:rsid w:val="00C23C8F"/>
    <w:rsid w:val="00C23FD9"/>
    <w:rsid w:val="00C2439C"/>
    <w:rsid w:val="00C24BC6"/>
    <w:rsid w:val="00C25CFA"/>
    <w:rsid w:val="00C2627A"/>
    <w:rsid w:val="00C26BE9"/>
    <w:rsid w:val="00C27181"/>
    <w:rsid w:val="00C2737D"/>
    <w:rsid w:val="00C27544"/>
    <w:rsid w:val="00C2764A"/>
    <w:rsid w:val="00C301C8"/>
    <w:rsid w:val="00C3148E"/>
    <w:rsid w:val="00C3170D"/>
    <w:rsid w:val="00C32EF3"/>
    <w:rsid w:val="00C33066"/>
    <w:rsid w:val="00C33A68"/>
    <w:rsid w:val="00C3407C"/>
    <w:rsid w:val="00C349C3"/>
    <w:rsid w:val="00C34BBE"/>
    <w:rsid w:val="00C34F1B"/>
    <w:rsid w:val="00C35A84"/>
    <w:rsid w:val="00C36151"/>
    <w:rsid w:val="00C367AD"/>
    <w:rsid w:val="00C37A3A"/>
    <w:rsid w:val="00C37D0C"/>
    <w:rsid w:val="00C37FC0"/>
    <w:rsid w:val="00C402B5"/>
    <w:rsid w:val="00C40583"/>
    <w:rsid w:val="00C405E2"/>
    <w:rsid w:val="00C42019"/>
    <w:rsid w:val="00C4217F"/>
    <w:rsid w:val="00C4349A"/>
    <w:rsid w:val="00C43F9C"/>
    <w:rsid w:val="00C45DDD"/>
    <w:rsid w:val="00C46525"/>
    <w:rsid w:val="00C477FB"/>
    <w:rsid w:val="00C50FED"/>
    <w:rsid w:val="00C51F35"/>
    <w:rsid w:val="00C53996"/>
    <w:rsid w:val="00C53B53"/>
    <w:rsid w:val="00C53CD8"/>
    <w:rsid w:val="00C53E53"/>
    <w:rsid w:val="00C55B72"/>
    <w:rsid w:val="00C55C0A"/>
    <w:rsid w:val="00C55D06"/>
    <w:rsid w:val="00C563BD"/>
    <w:rsid w:val="00C56ABF"/>
    <w:rsid w:val="00C56C5D"/>
    <w:rsid w:val="00C57E70"/>
    <w:rsid w:val="00C60E12"/>
    <w:rsid w:val="00C6247A"/>
    <w:rsid w:val="00C62F48"/>
    <w:rsid w:val="00C6307A"/>
    <w:rsid w:val="00C64770"/>
    <w:rsid w:val="00C651A8"/>
    <w:rsid w:val="00C65202"/>
    <w:rsid w:val="00C6526D"/>
    <w:rsid w:val="00C65942"/>
    <w:rsid w:val="00C6685C"/>
    <w:rsid w:val="00C66BD5"/>
    <w:rsid w:val="00C66E86"/>
    <w:rsid w:val="00C67003"/>
    <w:rsid w:val="00C67248"/>
    <w:rsid w:val="00C67FC3"/>
    <w:rsid w:val="00C70755"/>
    <w:rsid w:val="00C7093A"/>
    <w:rsid w:val="00C70E6C"/>
    <w:rsid w:val="00C70F01"/>
    <w:rsid w:val="00C71056"/>
    <w:rsid w:val="00C718E6"/>
    <w:rsid w:val="00C71FA4"/>
    <w:rsid w:val="00C7247C"/>
    <w:rsid w:val="00C7406F"/>
    <w:rsid w:val="00C74159"/>
    <w:rsid w:val="00C74764"/>
    <w:rsid w:val="00C749F1"/>
    <w:rsid w:val="00C74FD3"/>
    <w:rsid w:val="00C75345"/>
    <w:rsid w:val="00C75C68"/>
    <w:rsid w:val="00C761F6"/>
    <w:rsid w:val="00C76619"/>
    <w:rsid w:val="00C7798D"/>
    <w:rsid w:val="00C80AE0"/>
    <w:rsid w:val="00C82AFB"/>
    <w:rsid w:val="00C82D2A"/>
    <w:rsid w:val="00C83638"/>
    <w:rsid w:val="00C843B5"/>
    <w:rsid w:val="00C84C23"/>
    <w:rsid w:val="00C85089"/>
    <w:rsid w:val="00C85C95"/>
    <w:rsid w:val="00C85DD7"/>
    <w:rsid w:val="00C86356"/>
    <w:rsid w:val="00C865A8"/>
    <w:rsid w:val="00C869C7"/>
    <w:rsid w:val="00C86A9B"/>
    <w:rsid w:val="00C87080"/>
    <w:rsid w:val="00C870D8"/>
    <w:rsid w:val="00C872C2"/>
    <w:rsid w:val="00C8785C"/>
    <w:rsid w:val="00C87908"/>
    <w:rsid w:val="00C87933"/>
    <w:rsid w:val="00C90C14"/>
    <w:rsid w:val="00C90E9F"/>
    <w:rsid w:val="00C910AC"/>
    <w:rsid w:val="00C9219C"/>
    <w:rsid w:val="00C92650"/>
    <w:rsid w:val="00C926C7"/>
    <w:rsid w:val="00C92760"/>
    <w:rsid w:val="00C92CF6"/>
    <w:rsid w:val="00C932AC"/>
    <w:rsid w:val="00C9376B"/>
    <w:rsid w:val="00C93EA4"/>
    <w:rsid w:val="00C94766"/>
    <w:rsid w:val="00C94E73"/>
    <w:rsid w:val="00C95B81"/>
    <w:rsid w:val="00C97313"/>
    <w:rsid w:val="00C975C4"/>
    <w:rsid w:val="00C9776A"/>
    <w:rsid w:val="00C97950"/>
    <w:rsid w:val="00CA0250"/>
    <w:rsid w:val="00CA046C"/>
    <w:rsid w:val="00CA049B"/>
    <w:rsid w:val="00CA095F"/>
    <w:rsid w:val="00CA0D35"/>
    <w:rsid w:val="00CA15D5"/>
    <w:rsid w:val="00CA18D8"/>
    <w:rsid w:val="00CA2645"/>
    <w:rsid w:val="00CA2DAE"/>
    <w:rsid w:val="00CA30A4"/>
    <w:rsid w:val="00CA35AA"/>
    <w:rsid w:val="00CA3BE4"/>
    <w:rsid w:val="00CA3C5D"/>
    <w:rsid w:val="00CA42D5"/>
    <w:rsid w:val="00CA4308"/>
    <w:rsid w:val="00CA4B9F"/>
    <w:rsid w:val="00CA4F03"/>
    <w:rsid w:val="00CA6B73"/>
    <w:rsid w:val="00CB001F"/>
    <w:rsid w:val="00CB03F3"/>
    <w:rsid w:val="00CB0608"/>
    <w:rsid w:val="00CB0FEB"/>
    <w:rsid w:val="00CB255C"/>
    <w:rsid w:val="00CB468C"/>
    <w:rsid w:val="00CB46D3"/>
    <w:rsid w:val="00CB4709"/>
    <w:rsid w:val="00CB53D8"/>
    <w:rsid w:val="00CB589A"/>
    <w:rsid w:val="00CB5A20"/>
    <w:rsid w:val="00CB5D0D"/>
    <w:rsid w:val="00CB5E9B"/>
    <w:rsid w:val="00CB78E3"/>
    <w:rsid w:val="00CB79A0"/>
    <w:rsid w:val="00CB7CAA"/>
    <w:rsid w:val="00CB7E28"/>
    <w:rsid w:val="00CC0148"/>
    <w:rsid w:val="00CC0CEC"/>
    <w:rsid w:val="00CC1D5F"/>
    <w:rsid w:val="00CC24B2"/>
    <w:rsid w:val="00CC2FA3"/>
    <w:rsid w:val="00CC4265"/>
    <w:rsid w:val="00CC45BB"/>
    <w:rsid w:val="00CC4D60"/>
    <w:rsid w:val="00CC4E98"/>
    <w:rsid w:val="00CC5222"/>
    <w:rsid w:val="00CC5780"/>
    <w:rsid w:val="00CC7093"/>
    <w:rsid w:val="00CC7555"/>
    <w:rsid w:val="00CC7C93"/>
    <w:rsid w:val="00CC7D73"/>
    <w:rsid w:val="00CD1070"/>
    <w:rsid w:val="00CD1A77"/>
    <w:rsid w:val="00CD1EDB"/>
    <w:rsid w:val="00CD24AF"/>
    <w:rsid w:val="00CD25F6"/>
    <w:rsid w:val="00CD4A77"/>
    <w:rsid w:val="00CD4FA3"/>
    <w:rsid w:val="00CD57D6"/>
    <w:rsid w:val="00CD6356"/>
    <w:rsid w:val="00CD6A6A"/>
    <w:rsid w:val="00CE0C52"/>
    <w:rsid w:val="00CE1138"/>
    <w:rsid w:val="00CE20E5"/>
    <w:rsid w:val="00CE228C"/>
    <w:rsid w:val="00CE2CFC"/>
    <w:rsid w:val="00CE36DB"/>
    <w:rsid w:val="00CE3E0D"/>
    <w:rsid w:val="00CE4CB0"/>
    <w:rsid w:val="00CE503D"/>
    <w:rsid w:val="00CE566B"/>
    <w:rsid w:val="00CE5C67"/>
    <w:rsid w:val="00CE6672"/>
    <w:rsid w:val="00CE66CB"/>
    <w:rsid w:val="00CE79DE"/>
    <w:rsid w:val="00CE7A80"/>
    <w:rsid w:val="00CF0521"/>
    <w:rsid w:val="00CF0865"/>
    <w:rsid w:val="00CF17CE"/>
    <w:rsid w:val="00CF1989"/>
    <w:rsid w:val="00CF1EAF"/>
    <w:rsid w:val="00CF2004"/>
    <w:rsid w:val="00CF2988"/>
    <w:rsid w:val="00CF3B6C"/>
    <w:rsid w:val="00CF43C0"/>
    <w:rsid w:val="00CF60EB"/>
    <w:rsid w:val="00CF651F"/>
    <w:rsid w:val="00CF74BD"/>
    <w:rsid w:val="00D00309"/>
    <w:rsid w:val="00D00EF0"/>
    <w:rsid w:val="00D0222D"/>
    <w:rsid w:val="00D02910"/>
    <w:rsid w:val="00D02C0A"/>
    <w:rsid w:val="00D03596"/>
    <w:rsid w:val="00D03A27"/>
    <w:rsid w:val="00D04990"/>
    <w:rsid w:val="00D059D7"/>
    <w:rsid w:val="00D05AFA"/>
    <w:rsid w:val="00D06507"/>
    <w:rsid w:val="00D066E7"/>
    <w:rsid w:val="00D071AE"/>
    <w:rsid w:val="00D07589"/>
    <w:rsid w:val="00D077A6"/>
    <w:rsid w:val="00D109E5"/>
    <w:rsid w:val="00D114CC"/>
    <w:rsid w:val="00D11708"/>
    <w:rsid w:val="00D1247D"/>
    <w:rsid w:val="00D12A2E"/>
    <w:rsid w:val="00D1327C"/>
    <w:rsid w:val="00D1380E"/>
    <w:rsid w:val="00D151C9"/>
    <w:rsid w:val="00D1551B"/>
    <w:rsid w:val="00D163DD"/>
    <w:rsid w:val="00D1690D"/>
    <w:rsid w:val="00D16D2D"/>
    <w:rsid w:val="00D16E0B"/>
    <w:rsid w:val="00D17728"/>
    <w:rsid w:val="00D17BB0"/>
    <w:rsid w:val="00D2022A"/>
    <w:rsid w:val="00D2095D"/>
    <w:rsid w:val="00D2110A"/>
    <w:rsid w:val="00D21162"/>
    <w:rsid w:val="00D213B1"/>
    <w:rsid w:val="00D2141D"/>
    <w:rsid w:val="00D21802"/>
    <w:rsid w:val="00D21937"/>
    <w:rsid w:val="00D21B43"/>
    <w:rsid w:val="00D23B28"/>
    <w:rsid w:val="00D23F9C"/>
    <w:rsid w:val="00D24A7D"/>
    <w:rsid w:val="00D260CC"/>
    <w:rsid w:val="00D268E2"/>
    <w:rsid w:val="00D26D53"/>
    <w:rsid w:val="00D2741F"/>
    <w:rsid w:val="00D3004C"/>
    <w:rsid w:val="00D30337"/>
    <w:rsid w:val="00D31595"/>
    <w:rsid w:val="00D31913"/>
    <w:rsid w:val="00D31B59"/>
    <w:rsid w:val="00D321DA"/>
    <w:rsid w:val="00D3223D"/>
    <w:rsid w:val="00D32EFC"/>
    <w:rsid w:val="00D33021"/>
    <w:rsid w:val="00D3359E"/>
    <w:rsid w:val="00D34516"/>
    <w:rsid w:val="00D35276"/>
    <w:rsid w:val="00D352E0"/>
    <w:rsid w:val="00D3568D"/>
    <w:rsid w:val="00D35C3A"/>
    <w:rsid w:val="00D360E0"/>
    <w:rsid w:val="00D36510"/>
    <w:rsid w:val="00D367A2"/>
    <w:rsid w:val="00D368CE"/>
    <w:rsid w:val="00D369FE"/>
    <w:rsid w:val="00D36C89"/>
    <w:rsid w:val="00D36E28"/>
    <w:rsid w:val="00D372AE"/>
    <w:rsid w:val="00D375FC"/>
    <w:rsid w:val="00D37AF6"/>
    <w:rsid w:val="00D400E3"/>
    <w:rsid w:val="00D42043"/>
    <w:rsid w:val="00D426E4"/>
    <w:rsid w:val="00D45159"/>
    <w:rsid w:val="00D4545A"/>
    <w:rsid w:val="00D465EC"/>
    <w:rsid w:val="00D468B7"/>
    <w:rsid w:val="00D4695A"/>
    <w:rsid w:val="00D46B13"/>
    <w:rsid w:val="00D46F2C"/>
    <w:rsid w:val="00D46FE0"/>
    <w:rsid w:val="00D514A0"/>
    <w:rsid w:val="00D51CC3"/>
    <w:rsid w:val="00D51F2E"/>
    <w:rsid w:val="00D52842"/>
    <w:rsid w:val="00D529A5"/>
    <w:rsid w:val="00D52B80"/>
    <w:rsid w:val="00D53D2A"/>
    <w:rsid w:val="00D53D7B"/>
    <w:rsid w:val="00D53EF1"/>
    <w:rsid w:val="00D54DBE"/>
    <w:rsid w:val="00D54F4A"/>
    <w:rsid w:val="00D55A42"/>
    <w:rsid w:val="00D5625C"/>
    <w:rsid w:val="00D5677C"/>
    <w:rsid w:val="00D57620"/>
    <w:rsid w:val="00D57716"/>
    <w:rsid w:val="00D57A02"/>
    <w:rsid w:val="00D57DDE"/>
    <w:rsid w:val="00D60AB5"/>
    <w:rsid w:val="00D61A1B"/>
    <w:rsid w:val="00D61AF4"/>
    <w:rsid w:val="00D62679"/>
    <w:rsid w:val="00D62AB4"/>
    <w:rsid w:val="00D630BA"/>
    <w:rsid w:val="00D634A4"/>
    <w:rsid w:val="00D63E51"/>
    <w:rsid w:val="00D64224"/>
    <w:rsid w:val="00D6434B"/>
    <w:rsid w:val="00D64786"/>
    <w:rsid w:val="00D648E7"/>
    <w:rsid w:val="00D64F75"/>
    <w:rsid w:val="00D6507E"/>
    <w:rsid w:val="00D66143"/>
    <w:rsid w:val="00D665D9"/>
    <w:rsid w:val="00D67573"/>
    <w:rsid w:val="00D701E9"/>
    <w:rsid w:val="00D719B5"/>
    <w:rsid w:val="00D71C99"/>
    <w:rsid w:val="00D71E62"/>
    <w:rsid w:val="00D71EFD"/>
    <w:rsid w:val="00D72822"/>
    <w:rsid w:val="00D729BF"/>
    <w:rsid w:val="00D729F7"/>
    <w:rsid w:val="00D76BB9"/>
    <w:rsid w:val="00D7704F"/>
    <w:rsid w:val="00D77C02"/>
    <w:rsid w:val="00D77EE6"/>
    <w:rsid w:val="00D8105C"/>
    <w:rsid w:val="00D81674"/>
    <w:rsid w:val="00D81CA1"/>
    <w:rsid w:val="00D8347C"/>
    <w:rsid w:val="00D834EB"/>
    <w:rsid w:val="00D845E3"/>
    <w:rsid w:val="00D84F0A"/>
    <w:rsid w:val="00D850F7"/>
    <w:rsid w:val="00D86CD4"/>
    <w:rsid w:val="00D8735F"/>
    <w:rsid w:val="00D876B3"/>
    <w:rsid w:val="00D87EE3"/>
    <w:rsid w:val="00D90A61"/>
    <w:rsid w:val="00D91502"/>
    <w:rsid w:val="00D918CD"/>
    <w:rsid w:val="00D91ACB"/>
    <w:rsid w:val="00D91ACF"/>
    <w:rsid w:val="00D947DA"/>
    <w:rsid w:val="00D94B76"/>
    <w:rsid w:val="00D950AE"/>
    <w:rsid w:val="00D953BB"/>
    <w:rsid w:val="00D95442"/>
    <w:rsid w:val="00D9587C"/>
    <w:rsid w:val="00D95EEE"/>
    <w:rsid w:val="00D961BE"/>
    <w:rsid w:val="00D96E9E"/>
    <w:rsid w:val="00D97BDD"/>
    <w:rsid w:val="00DA0359"/>
    <w:rsid w:val="00DA0721"/>
    <w:rsid w:val="00DA0875"/>
    <w:rsid w:val="00DA0AA2"/>
    <w:rsid w:val="00DA3E36"/>
    <w:rsid w:val="00DA45BF"/>
    <w:rsid w:val="00DA5DEC"/>
    <w:rsid w:val="00DA6042"/>
    <w:rsid w:val="00DA61A6"/>
    <w:rsid w:val="00DA688E"/>
    <w:rsid w:val="00DA6975"/>
    <w:rsid w:val="00DA6ED9"/>
    <w:rsid w:val="00DA73C2"/>
    <w:rsid w:val="00DB1F33"/>
    <w:rsid w:val="00DB1FE3"/>
    <w:rsid w:val="00DB260F"/>
    <w:rsid w:val="00DB2880"/>
    <w:rsid w:val="00DB3D3C"/>
    <w:rsid w:val="00DB4813"/>
    <w:rsid w:val="00DB6214"/>
    <w:rsid w:val="00DB67CB"/>
    <w:rsid w:val="00DB6F9A"/>
    <w:rsid w:val="00DB738A"/>
    <w:rsid w:val="00DB7935"/>
    <w:rsid w:val="00DB7C9B"/>
    <w:rsid w:val="00DC0308"/>
    <w:rsid w:val="00DC0580"/>
    <w:rsid w:val="00DC0CBD"/>
    <w:rsid w:val="00DC0D04"/>
    <w:rsid w:val="00DC114D"/>
    <w:rsid w:val="00DC140F"/>
    <w:rsid w:val="00DC1B99"/>
    <w:rsid w:val="00DC1C0B"/>
    <w:rsid w:val="00DC1C32"/>
    <w:rsid w:val="00DC1C7C"/>
    <w:rsid w:val="00DC2A8A"/>
    <w:rsid w:val="00DC2EB2"/>
    <w:rsid w:val="00DC3280"/>
    <w:rsid w:val="00DC3E8E"/>
    <w:rsid w:val="00DC4EF6"/>
    <w:rsid w:val="00DC5842"/>
    <w:rsid w:val="00DC5DFC"/>
    <w:rsid w:val="00DC6177"/>
    <w:rsid w:val="00DC70F4"/>
    <w:rsid w:val="00DC79E2"/>
    <w:rsid w:val="00DC7BC2"/>
    <w:rsid w:val="00DD0AE4"/>
    <w:rsid w:val="00DD17AD"/>
    <w:rsid w:val="00DD22BA"/>
    <w:rsid w:val="00DD333E"/>
    <w:rsid w:val="00DD3F1F"/>
    <w:rsid w:val="00DD519C"/>
    <w:rsid w:val="00DD5615"/>
    <w:rsid w:val="00DD5DF9"/>
    <w:rsid w:val="00DD629E"/>
    <w:rsid w:val="00DD7E18"/>
    <w:rsid w:val="00DE1492"/>
    <w:rsid w:val="00DE1628"/>
    <w:rsid w:val="00DE1833"/>
    <w:rsid w:val="00DE1EEB"/>
    <w:rsid w:val="00DE23BE"/>
    <w:rsid w:val="00DE2C48"/>
    <w:rsid w:val="00DE3695"/>
    <w:rsid w:val="00DE45DA"/>
    <w:rsid w:val="00DE4DD3"/>
    <w:rsid w:val="00DE502B"/>
    <w:rsid w:val="00DE69D4"/>
    <w:rsid w:val="00DE72B0"/>
    <w:rsid w:val="00DE7B9D"/>
    <w:rsid w:val="00DF00A8"/>
    <w:rsid w:val="00DF0935"/>
    <w:rsid w:val="00DF1174"/>
    <w:rsid w:val="00DF1C30"/>
    <w:rsid w:val="00DF2D1A"/>
    <w:rsid w:val="00DF2DE8"/>
    <w:rsid w:val="00DF2F0B"/>
    <w:rsid w:val="00DF3553"/>
    <w:rsid w:val="00DF36EF"/>
    <w:rsid w:val="00DF39AB"/>
    <w:rsid w:val="00DF4400"/>
    <w:rsid w:val="00DF4BC1"/>
    <w:rsid w:val="00DF4C2F"/>
    <w:rsid w:val="00DF4F6F"/>
    <w:rsid w:val="00DF4FC5"/>
    <w:rsid w:val="00DF5181"/>
    <w:rsid w:val="00DF652E"/>
    <w:rsid w:val="00DF67DC"/>
    <w:rsid w:val="00DF6EA0"/>
    <w:rsid w:val="00DF7134"/>
    <w:rsid w:val="00E00206"/>
    <w:rsid w:val="00E00411"/>
    <w:rsid w:val="00E004C9"/>
    <w:rsid w:val="00E01092"/>
    <w:rsid w:val="00E013D1"/>
    <w:rsid w:val="00E019E2"/>
    <w:rsid w:val="00E01BA8"/>
    <w:rsid w:val="00E02332"/>
    <w:rsid w:val="00E0304D"/>
    <w:rsid w:val="00E0328B"/>
    <w:rsid w:val="00E033AE"/>
    <w:rsid w:val="00E03509"/>
    <w:rsid w:val="00E03903"/>
    <w:rsid w:val="00E04035"/>
    <w:rsid w:val="00E05A13"/>
    <w:rsid w:val="00E064DD"/>
    <w:rsid w:val="00E06D7B"/>
    <w:rsid w:val="00E07060"/>
    <w:rsid w:val="00E0729A"/>
    <w:rsid w:val="00E07574"/>
    <w:rsid w:val="00E07B1B"/>
    <w:rsid w:val="00E10813"/>
    <w:rsid w:val="00E10BE2"/>
    <w:rsid w:val="00E1253D"/>
    <w:rsid w:val="00E12587"/>
    <w:rsid w:val="00E12D8B"/>
    <w:rsid w:val="00E133B6"/>
    <w:rsid w:val="00E13664"/>
    <w:rsid w:val="00E13A81"/>
    <w:rsid w:val="00E13C27"/>
    <w:rsid w:val="00E13C40"/>
    <w:rsid w:val="00E13D32"/>
    <w:rsid w:val="00E14D04"/>
    <w:rsid w:val="00E151E5"/>
    <w:rsid w:val="00E161E8"/>
    <w:rsid w:val="00E16366"/>
    <w:rsid w:val="00E16A2F"/>
    <w:rsid w:val="00E16C33"/>
    <w:rsid w:val="00E1721C"/>
    <w:rsid w:val="00E17B10"/>
    <w:rsid w:val="00E203DD"/>
    <w:rsid w:val="00E208FB"/>
    <w:rsid w:val="00E217A3"/>
    <w:rsid w:val="00E217AA"/>
    <w:rsid w:val="00E21930"/>
    <w:rsid w:val="00E21BAF"/>
    <w:rsid w:val="00E21DF9"/>
    <w:rsid w:val="00E2276D"/>
    <w:rsid w:val="00E22E28"/>
    <w:rsid w:val="00E2353C"/>
    <w:rsid w:val="00E23652"/>
    <w:rsid w:val="00E23ADF"/>
    <w:rsid w:val="00E23EB7"/>
    <w:rsid w:val="00E245DD"/>
    <w:rsid w:val="00E24F94"/>
    <w:rsid w:val="00E25706"/>
    <w:rsid w:val="00E26907"/>
    <w:rsid w:val="00E269CE"/>
    <w:rsid w:val="00E27882"/>
    <w:rsid w:val="00E279AE"/>
    <w:rsid w:val="00E3010A"/>
    <w:rsid w:val="00E3119D"/>
    <w:rsid w:val="00E326F0"/>
    <w:rsid w:val="00E343B5"/>
    <w:rsid w:val="00E35244"/>
    <w:rsid w:val="00E35D59"/>
    <w:rsid w:val="00E401B0"/>
    <w:rsid w:val="00E4040B"/>
    <w:rsid w:val="00E40C58"/>
    <w:rsid w:val="00E4183D"/>
    <w:rsid w:val="00E41CFE"/>
    <w:rsid w:val="00E41E54"/>
    <w:rsid w:val="00E424F1"/>
    <w:rsid w:val="00E42542"/>
    <w:rsid w:val="00E426B4"/>
    <w:rsid w:val="00E4313D"/>
    <w:rsid w:val="00E43E14"/>
    <w:rsid w:val="00E44655"/>
    <w:rsid w:val="00E4541D"/>
    <w:rsid w:val="00E4550D"/>
    <w:rsid w:val="00E45844"/>
    <w:rsid w:val="00E45D67"/>
    <w:rsid w:val="00E475D1"/>
    <w:rsid w:val="00E47FC0"/>
    <w:rsid w:val="00E50127"/>
    <w:rsid w:val="00E51E26"/>
    <w:rsid w:val="00E51F9D"/>
    <w:rsid w:val="00E521EB"/>
    <w:rsid w:val="00E52204"/>
    <w:rsid w:val="00E522EB"/>
    <w:rsid w:val="00E53B2B"/>
    <w:rsid w:val="00E54090"/>
    <w:rsid w:val="00E54153"/>
    <w:rsid w:val="00E5527D"/>
    <w:rsid w:val="00E562C5"/>
    <w:rsid w:val="00E56F44"/>
    <w:rsid w:val="00E57C82"/>
    <w:rsid w:val="00E60EDF"/>
    <w:rsid w:val="00E617AB"/>
    <w:rsid w:val="00E61864"/>
    <w:rsid w:val="00E621BB"/>
    <w:rsid w:val="00E62900"/>
    <w:rsid w:val="00E62E2E"/>
    <w:rsid w:val="00E62F32"/>
    <w:rsid w:val="00E6410B"/>
    <w:rsid w:val="00E6452C"/>
    <w:rsid w:val="00E65EFF"/>
    <w:rsid w:val="00E6708B"/>
    <w:rsid w:val="00E67771"/>
    <w:rsid w:val="00E679C9"/>
    <w:rsid w:val="00E67E1D"/>
    <w:rsid w:val="00E700BF"/>
    <w:rsid w:val="00E70959"/>
    <w:rsid w:val="00E70F0A"/>
    <w:rsid w:val="00E722B1"/>
    <w:rsid w:val="00E72557"/>
    <w:rsid w:val="00E72924"/>
    <w:rsid w:val="00E72AEC"/>
    <w:rsid w:val="00E744BE"/>
    <w:rsid w:val="00E7468E"/>
    <w:rsid w:val="00E7485D"/>
    <w:rsid w:val="00E74D8A"/>
    <w:rsid w:val="00E7505E"/>
    <w:rsid w:val="00E75F6E"/>
    <w:rsid w:val="00E76067"/>
    <w:rsid w:val="00E76A41"/>
    <w:rsid w:val="00E80AAC"/>
    <w:rsid w:val="00E80B10"/>
    <w:rsid w:val="00E80FAC"/>
    <w:rsid w:val="00E81083"/>
    <w:rsid w:val="00E81957"/>
    <w:rsid w:val="00E8234B"/>
    <w:rsid w:val="00E82731"/>
    <w:rsid w:val="00E837F5"/>
    <w:rsid w:val="00E83AD5"/>
    <w:rsid w:val="00E83F02"/>
    <w:rsid w:val="00E845CF"/>
    <w:rsid w:val="00E8495E"/>
    <w:rsid w:val="00E85828"/>
    <w:rsid w:val="00E86C4C"/>
    <w:rsid w:val="00E875D1"/>
    <w:rsid w:val="00E875E4"/>
    <w:rsid w:val="00E90393"/>
    <w:rsid w:val="00E910DF"/>
    <w:rsid w:val="00E918B1"/>
    <w:rsid w:val="00E919A1"/>
    <w:rsid w:val="00E92FE3"/>
    <w:rsid w:val="00E9333D"/>
    <w:rsid w:val="00E942B6"/>
    <w:rsid w:val="00E95718"/>
    <w:rsid w:val="00E957A7"/>
    <w:rsid w:val="00E9589D"/>
    <w:rsid w:val="00E961FF"/>
    <w:rsid w:val="00E96AD5"/>
    <w:rsid w:val="00E97974"/>
    <w:rsid w:val="00EA24C4"/>
    <w:rsid w:val="00EA43BE"/>
    <w:rsid w:val="00EA4C3E"/>
    <w:rsid w:val="00EA4F6A"/>
    <w:rsid w:val="00EA4F86"/>
    <w:rsid w:val="00EA5544"/>
    <w:rsid w:val="00EA5E98"/>
    <w:rsid w:val="00EA6DAF"/>
    <w:rsid w:val="00EA7370"/>
    <w:rsid w:val="00EA75D6"/>
    <w:rsid w:val="00EB0B96"/>
    <w:rsid w:val="00EB0F25"/>
    <w:rsid w:val="00EB152C"/>
    <w:rsid w:val="00EB1CBB"/>
    <w:rsid w:val="00EB22A4"/>
    <w:rsid w:val="00EB2CF5"/>
    <w:rsid w:val="00EB2E0B"/>
    <w:rsid w:val="00EB336A"/>
    <w:rsid w:val="00EB37ED"/>
    <w:rsid w:val="00EB41B4"/>
    <w:rsid w:val="00EB54D8"/>
    <w:rsid w:val="00EB5578"/>
    <w:rsid w:val="00EB5777"/>
    <w:rsid w:val="00EB57A5"/>
    <w:rsid w:val="00EB6C26"/>
    <w:rsid w:val="00EB707F"/>
    <w:rsid w:val="00EB7F75"/>
    <w:rsid w:val="00EC02D7"/>
    <w:rsid w:val="00EC234B"/>
    <w:rsid w:val="00EC2757"/>
    <w:rsid w:val="00EC276F"/>
    <w:rsid w:val="00EC2B51"/>
    <w:rsid w:val="00EC300A"/>
    <w:rsid w:val="00EC3760"/>
    <w:rsid w:val="00EC37BC"/>
    <w:rsid w:val="00EC3866"/>
    <w:rsid w:val="00EC3F20"/>
    <w:rsid w:val="00EC3F93"/>
    <w:rsid w:val="00EC4330"/>
    <w:rsid w:val="00EC4AF6"/>
    <w:rsid w:val="00EC5ACE"/>
    <w:rsid w:val="00EC7F5C"/>
    <w:rsid w:val="00ED0108"/>
    <w:rsid w:val="00ED076A"/>
    <w:rsid w:val="00ED0BC6"/>
    <w:rsid w:val="00ED1355"/>
    <w:rsid w:val="00ED1504"/>
    <w:rsid w:val="00ED1670"/>
    <w:rsid w:val="00ED17BC"/>
    <w:rsid w:val="00ED1B90"/>
    <w:rsid w:val="00ED1D58"/>
    <w:rsid w:val="00ED273F"/>
    <w:rsid w:val="00ED2C47"/>
    <w:rsid w:val="00ED2C74"/>
    <w:rsid w:val="00ED4100"/>
    <w:rsid w:val="00ED45A1"/>
    <w:rsid w:val="00ED51B4"/>
    <w:rsid w:val="00ED596E"/>
    <w:rsid w:val="00ED5AFD"/>
    <w:rsid w:val="00ED629D"/>
    <w:rsid w:val="00ED75E2"/>
    <w:rsid w:val="00EE025E"/>
    <w:rsid w:val="00EE0D39"/>
    <w:rsid w:val="00EE1518"/>
    <w:rsid w:val="00EE30DE"/>
    <w:rsid w:val="00EE314B"/>
    <w:rsid w:val="00EE389A"/>
    <w:rsid w:val="00EE3BD3"/>
    <w:rsid w:val="00EE3C3A"/>
    <w:rsid w:val="00EE3E24"/>
    <w:rsid w:val="00EE4575"/>
    <w:rsid w:val="00EE4F0C"/>
    <w:rsid w:val="00EE4FC6"/>
    <w:rsid w:val="00EE5631"/>
    <w:rsid w:val="00EE6292"/>
    <w:rsid w:val="00EE7953"/>
    <w:rsid w:val="00EE7B96"/>
    <w:rsid w:val="00EE7D25"/>
    <w:rsid w:val="00EF07FF"/>
    <w:rsid w:val="00EF1158"/>
    <w:rsid w:val="00EF1270"/>
    <w:rsid w:val="00EF23B6"/>
    <w:rsid w:val="00EF28F4"/>
    <w:rsid w:val="00EF3398"/>
    <w:rsid w:val="00EF347C"/>
    <w:rsid w:val="00EF3502"/>
    <w:rsid w:val="00EF3FBE"/>
    <w:rsid w:val="00EF436A"/>
    <w:rsid w:val="00EF5ABD"/>
    <w:rsid w:val="00EF5BD9"/>
    <w:rsid w:val="00EF5EE8"/>
    <w:rsid w:val="00EF6720"/>
    <w:rsid w:val="00EF6D39"/>
    <w:rsid w:val="00EF7C86"/>
    <w:rsid w:val="00F0068B"/>
    <w:rsid w:val="00F00A8E"/>
    <w:rsid w:val="00F00C51"/>
    <w:rsid w:val="00F01A10"/>
    <w:rsid w:val="00F01BA5"/>
    <w:rsid w:val="00F01F76"/>
    <w:rsid w:val="00F03092"/>
    <w:rsid w:val="00F039B2"/>
    <w:rsid w:val="00F03A58"/>
    <w:rsid w:val="00F03B65"/>
    <w:rsid w:val="00F04898"/>
    <w:rsid w:val="00F04D2E"/>
    <w:rsid w:val="00F04E74"/>
    <w:rsid w:val="00F04F7C"/>
    <w:rsid w:val="00F06E77"/>
    <w:rsid w:val="00F077E5"/>
    <w:rsid w:val="00F07891"/>
    <w:rsid w:val="00F07980"/>
    <w:rsid w:val="00F079B0"/>
    <w:rsid w:val="00F1039D"/>
    <w:rsid w:val="00F10DA0"/>
    <w:rsid w:val="00F11FBC"/>
    <w:rsid w:val="00F12550"/>
    <w:rsid w:val="00F133AF"/>
    <w:rsid w:val="00F137CB"/>
    <w:rsid w:val="00F1472B"/>
    <w:rsid w:val="00F14EE6"/>
    <w:rsid w:val="00F1513B"/>
    <w:rsid w:val="00F15911"/>
    <w:rsid w:val="00F17B96"/>
    <w:rsid w:val="00F214BA"/>
    <w:rsid w:val="00F21897"/>
    <w:rsid w:val="00F23D41"/>
    <w:rsid w:val="00F24858"/>
    <w:rsid w:val="00F258E7"/>
    <w:rsid w:val="00F26645"/>
    <w:rsid w:val="00F26CC7"/>
    <w:rsid w:val="00F27339"/>
    <w:rsid w:val="00F27674"/>
    <w:rsid w:val="00F3072A"/>
    <w:rsid w:val="00F31CDD"/>
    <w:rsid w:val="00F31FCB"/>
    <w:rsid w:val="00F32B00"/>
    <w:rsid w:val="00F33A0E"/>
    <w:rsid w:val="00F33DBC"/>
    <w:rsid w:val="00F34582"/>
    <w:rsid w:val="00F35770"/>
    <w:rsid w:val="00F357A9"/>
    <w:rsid w:val="00F36285"/>
    <w:rsid w:val="00F36548"/>
    <w:rsid w:val="00F37E2F"/>
    <w:rsid w:val="00F40F49"/>
    <w:rsid w:val="00F41476"/>
    <w:rsid w:val="00F41774"/>
    <w:rsid w:val="00F419C5"/>
    <w:rsid w:val="00F41E81"/>
    <w:rsid w:val="00F4200E"/>
    <w:rsid w:val="00F44234"/>
    <w:rsid w:val="00F4436E"/>
    <w:rsid w:val="00F44567"/>
    <w:rsid w:val="00F44F47"/>
    <w:rsid w:val="00F456E9"/>
    <w:rsid w:val="00F45C83"/>
    <w:rsid w:val="00F46269"/>
    <w:rsid w:val="00F46693"/>
    <w:rsid w:val="00F46D21"/>
    <w:rsid w:val="00F47294"/>
    <w:rsid w:val="00F505B2"/>
    <w:rsid w:val="00F5103A"/>
    <w:rsid w:val="00F5123C"/>
    <w:rsid w:val="00F5174A"/>
    <w:rsid w:val="00F51D23"/>
    <w:rsid w:val="00F5316D"/>
    <w:rsid w:val="00F538A9"/>
    <w:rsid w:val="00F54853"/>
    <w:rsid w:val="00F54933"/>
    <w:rsid w:val="00F552D4"/>
    <w:rsid w:val="00F55418"/>
    <w:rsid w:val="00F557C2"/>
    <w:rsid w:val="00F5645D"/>
    <w:rsid w:val="00F56D65"/>
    <w:rsid w:val="00F612BB"/>
    <w:rsid w:val="00F63793"/>
    <w:rsid w:val="00F648D6"/>
    <w:rsid w:val="00F64A26"/>
    <w:rsid w:val="00F64C4A"/>
    <w:rsid w:val="00F64F6A"/>
    <w:rsid w:val="00F655BA"/>
    <w:rsid w:val="00F65620"/>
    <w:rsid w:val="00F66159"/>
    <w:rsid w:val="00F6630C"/>
    <w:rsid w:val="00F67B05"/>
    <w:rsid w:val="00F700BA"/>
    <w:rsid w:val="00F70E1B"/>
    <w:rsid w:val="00F72D14"/>
    <w:rsid w:val="00F733E9"/>
    <w:rsid w:val="00F73890"/>
    <w:rsid w:val="00F73CB8"/>
    <w:rsid w:val="00F73EA9"/>
    <w:rsid w:val="00F74E87"/>
    <w:rsid w:val="00F755AE"/>
    <w:rsid w:val="00F75E95"/>
    <w:rsid w:val="00F76302"/>
    <w:rsid w:val="00F7663C"/>
    <w:rsid w:val="00F766EE"/>
    <w:rsid w:val="00F76C15"/>
    <w:rsid w:val="00F76DC4"/>
    <w:rsid w:val="00F77997"/>
    <w:rsid w:val="00F80F30"/>
    <w:rsid w:val="00F8202D"/>
    <w:rsid w:val="00F82466"/>
    <w:rsid w:val="00F82C7D"/>
    <w:rsid w:val="00F83751"/>
    <w:rsid w:val="00F84C12"/>
    <w:rsid w:val="00F856D0"/>
    <w:rsid w:val="00F85B37"/>
    <w:rsid w:val="00F85B4B"/>
    <w:rsid w:val="00F85EE4"/>
    <w:rsid w:val="00F8615B"/>
    <w:rsid w:val="00F869B6"/>
    <w:rsid w:val="00F86A7C"/>
    <w:rsid w:val="00F87265"/>
    <w:rsid w:val="00F876AD"/>
    <w:rsid w:val="00F8786F"/>
    <w:rsid w:val="00F87D47"/>
    <w:rsid w:val="00F9003E"/>
    <w:rsid w:val="00F9024B"/>
    <w:rsid w:val="00F90D84"/>
    <w:rsid w:val="00F9160B"/>
    <w:rsid w:val="00F9185A"/>
    <w:rsid w:val="00F91FB8"/>
    <w:rsid w:val="00F9245A"/>
    <w:rsid w:val="00F935A5"/>
    <w:rsid w:val="00F936C5"/>
    <w:rsid w:val="00F949AD"/>
    <w:rsid w:val="00F94D69"/>
    <w:rsid w:val="00F952B3"/>
    <w:rsid w:val="00F95780"/>
    <w:rsid w:val="00F95AAA"/>
    <w:rsid w:val="00F95F3E"/>
    <w:rsid w:val="00F966C4"/>
    <w:rsid w:val="00F96793"/>
    <w:rsid w:val="00F96A83"/>
    <w:rsid w:val="00F97356"/>
    <w:rsid w:val="00F97AE0"/>
    <w:rsid w:val="00F97F42"/>
    <w:rsid w:val="00F97FDC"/>
    <w:rsid w:val="00FA0475"/>
    <w:rsid w:val="00FA09C9"/>
    <w:rsid w:val="00FA0B1C"/>
    <w:rsid w:val="00FA0F0E"/>
    <w:rsid w:val="00FA144A"/>
    <w:rsid w:val="00FA212F"/>
    <w:rsid w:val="00FA21B4"/>
    <w:rsid w:val="00FA2C1A"/>
    <w:rsid w:val="00FA2D9C"/>
    <w:rsid w:val="00FA2F7F"/>
    <w:rsid w:val="00FA3407"/>
    <w:rsid w:val="00FA42C7"/>
    <w:rsid w:val="00FA4487"/>
    <w:rsid w:val="00FA5299"/>
    <w:rsid w:val="00FA563D"/>
    <w:rsid w:val="00FA5BFD"/>
    <w:rsid w:val="00FA5F9C"/>
    <w:rsid w:val="00FA637D"/>
    <w:rsid w:val="00FA65C1"/>
    <w:rsid w:val="00FA6740"/>
    <w:rsid w:val="00FA6CBD"/>
    <w:rsid w:val="00FA7D38"/>
    <w:rsid w:val="00FA7DF4"/>
    <w:rsid w:val="00FB0550"/>
    <w:rsid w:val="00FB20E0"/>
    <w:rsid w:val="00FB3DBB"/>
    <w:rsid w:val="00FB49A8"/>
    <w:rsid w:val="00FB4A44"/>
    <w:rsid w:val="00FB4CB2"/>
    <w:rsid w:val="00FB4EAA"/>
    <w:rsid w:val="00FB5001"/>
    <w:rsid w:val="00FB56B5"/>
    <w:rsid w:val="00FB5C2B"/>
    <w:rsid w:val="00FB62A2"/>
    <w:rsid w:val="00FB684A"/>
    <w:rsid w:val="00FB6A67"/>
    <w:rsid w:val="00FB6B84"/>
    <w:rsid w:val="00FB767B"/>
    <w:rsid w:val="00FB7FE6"/>
    <w:rsid w:val="00FC1EBF"/>
    <w:rsid w:val="00FC1F60"/>
    <w:rsid w:val="00FC2BD5"/>
    <w:rsid w:val="00FC3874"/>
    <w:rsid w:val="00FC3AC3"/>
    <w:rsid w:val="00FC3DA4"/>
    <w:rsid w:val="00FC3E63"/>
    <w:rsid w:val="00FC4317"/>
    <w:rsid w:val="00FC4D35"/>
    <w:rsid w:val="00FC5326"/>
    <w:rsid w:val="00FC6176"/>
    <w:rsid w:val="00FC6602"/>
    <w:rsid w:val="00FC6897"/>
    <w:rsid w:val="00FC6C95"/>
    <w:rsid w:val="00FC6D61"/>
    <w:rsid w:val="00FC70A5"/>
    <w:rsid w:val="00FD0466"/>
    <w:rsid w:val="00FD0644"/>
    <w:rsid w:val="00FD14D5"/>
    <w:rsid w:val="00FD18E2"/>
    <w:rsid w:val="00FD2C4F"/>
    <w:rsid w:val="00FD3354"/>
    <w:rsid w:val="00FD4165"/>
    <w:rsid w:val="00FD4AD6"/>
    <w:rsid w:val="00FD67E6"/>
    <w:rsid w:val="00FD691B"/>
    <w:rsid w:val="00FD6ABE"/>
    <w:rsid w:val="00FD70C9"/>
    <w:rsid w:val="00FD7248"/>
    <w:rsid w:val="00FD74E9"/>
    <w:rsid w:val="00FE049B"/>
    <w:rsid w:val="00FE198D"/>
    <w:rsid w:val="00FE1B37"/>
    <w:rsid w:val="00FE1DDB"/>
    <w:rsid w:val="00FE2046"/>
    <w:rsid w:val="00FE2314"/>
    <w:rsid w:val="00FE293F"/>
    <w:rsid w:val="00FE2E9B"/>
    <w:rsid w:val="00FE58F3"/>
    <w:rsid w:val="00FE6174"/>
    <w:rsid w:val="00FE777F"/>
    <w:rsid w:val="00FF1360"/>
    <w:rsid w:val="00FF264E"/>
    <w:rsid w:val="00FF3655"/>
    <w:rsid w:val="00FF3ABC"/>
    <w:rsid w:val="00FF40C8"/>
    <w:rsid w:val="00FF4990"/>
    <w:rsid w:val="00FF4D16"/>
    <w:rsid w:val="00FF57CB"/>
    <w:rsid w:val="00FF6595"/>
    <w:rsid w:val="00FF6AF7"/>
    <w:rsid w:val="00F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886DF"/>
  <w15:docId w15:val="{035FE1A8-744D-4227-86C7-076AF16A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65D5"/>
    <w:pPr>
      <w:tabs>
        <w:tab w:val="center" w:pos="4320"/>
        <w:tab w:val="right" w:pos="8640"/>
      </w:tabs>
    </w:pPr>
  </w:style>
  <w:style w:type="paragraph" w:styleId="Footer">
    <w:name w:val="footer"/>
    <w:basedOn w:val="Normal"/>
    <w:link w:val="FooterChar"/>
    <w:uiPriority w:val="99"/>
    <w:rsid w:val="000965D5"/>
    <w:pPr>
      <w:tabs>
        <w:tab w:val="center" w:pos="4320"/>
        <w:tab w:val="right" w:pos="8640"/>
      </w:tabs>
    </w:pPr>
  </w:style>
  <w:style w:type="paragraph" w:styleId="BalloonText">
    <w:name w:val="Balloon Text"/>
    <w:basedOn w:val="Normal"/>
    <w:link w:val="BalloonTextChar"/>
    <w:rsid w:val="00A84CEB"/>
    <w:rPr>
      <w:rFonts w:ascii="Tahoma" w:hAnsi="Tahoma"/>
      <w:sz w:val="16"/>
      <w:szCs w:val="16"/>
    </w:rPr>
  </w:style>
  <w:style w:type="character" w:customStyle="1" w:styleId="BalloonTextChar">
    <w:name w:val="Balloon Text Char"/>
    <w:link w:val="BalloonText"/>
    <w:rsid w:val="00A84CEB"/>
    <w:rPr>
      <w:rFonts w:ascii="Tahoma" w:hAnsi="Tahoma" w:cs="Tahoma"/>
      <w:sz w:val="16"/>
      <w:szCs w:val="16"/>
    </w:rPr>
  </w:style>
  <w:style w:type="character" w:customStyle="1" w:styleId="HeaderChar">
    <w:name w:val="Header Char"/>
    <w:basedOn w:val="DefaultParagraphFont"/>
    <w:link w:val="Header"/>
    <w:uiPriority w:val="99"/>
    <w:rsid w:val="00614178"/>
    <w:rPr>
      <w:sz w:val="24"/>
      <w:szCs w:val="24"/>
    </w:rPr>
  </w:style>
  <w:style w:type="character" w:customStyle="1" w:styleId="FooterChar">
    <w:name w:val="Footer Char"/>
    <w:basedOn w:val="DefaultParagraphFont"/>
    <w:link w:val="Footer"/>
    <w:uiPriority w:val="99"/>
    <w:rsid w:val="00614178"/>
    <w:rPr>
      <w:sz w:val="24"/>
      <w:szCs w:val="24"/>
    </w:rPr>
  </w:style>
  <w:style w:type="character" w:styleId="Hyperlink">
    <w:name w:val="Hyperlink"/>
    <w:uiPriority w:val="99"/>
    <w:unhideWhenUsed/>
    <w:rsid w:val="007862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pdf.usaid.gov/pdf_docs/Pnadd5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CARE.org</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2</cp:revision>
  <cp:lastPrinted>2016-04-04T02:11:00Z</cp:lastPrinted>
  <dcterms:created xsi:type="dcterms:W3CDTF">2017-03-16T10:46:00Z</dcterms:created>
  <dcterms:modified xsi:type="dcterms:W3CDTF">2017-03-16T10:46:00Z</dcterms:modified>
</cp:coreProperties>
</file>