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3B" w:rsidRDefault="00CE123B" w:rsidP="00A54F53">
      <w:pPr>
        <w:pStyle w:val="ListParagraph"/>
        <w:numPr>
          <w:ilvl w:val="0"/>
          <w:numId w:val="6"/>
        </w:numPr>
        <w:spacing w:before="0" w:after="200" w:line="252" w:lineRule="auto"/>
        <w:contextualSpacing w:val="0"/>
      </w:pPr>
      <w:r w:rsidRPr="00A54F53">
        <w:rPr>
          <w:bCs/>
        </w:rPr>
        <w:t>Ensure the clear separation of staff duties.</w:t>
      </w:r>
      <w:r w:rsidRPr="00A54F53">
        <w:rPr>
          <w:b/>
          <w:bCs/>
        </w:rPr>
        <w:t xml:space="preserve"> </w:t>
      </w:r>
      <w:r w:rsidRPr="00356319">
        <w:t>Different staff should be responsible for technical specifications, prequalification</w:t>
      </w:r>
      <w:r w:rsidR="00B174FC">
        <w:t>,</w:t>
      </w:r>
      <w:r w:rsidRPr="00356319">
        <w:t xml:space="preserve"> and bid evaluation. </w:t>
      </w:r>
    </w:p>
    <w:p w:rsidR="00CE123B" w:rsidRDefault="00CE123B" w:rsidP="00A54F53">
      <w:pPr>
        <w:pStyle w:val="ListParagraph"/>
        <w:numPr>
          <w:ilvl w:val="0"/>
          <w:numId w:val="6"/>
        </w:numPr>
        <w:spacing w:before="0" w:after="60" w:line="252" w:lineRule="auto"/>
        <w:contextualSpacing w:val="0"/>
      </w:pPr>
      <w:r w:rsidRPr="00356319">
        <w:t xml:space="preserve">Ensure tender specifications are drafted by technical specialists, not by procurement staff. </w:t>
      </w:r>
      <w:r w:rsidR="00B21479" w:rsidRPr="00A54F53">
        <w:rPr>
          <w:color w:val="000000" w:themeColor="text1"/>
        </w:rPr>
        <w:t>Information needed to tender road transport for movement of commodity</w:t>
      </w:r>
      <w:r w:rsidR="00152A8F">
        <w:rPr>
          <w:color w:val="000000" w:themeColor="text1"/>
        </w:rPr>
        <w:t xml:space="preserve"> includes:</w:t>
      </w:r>
    </w:p>
    <w:p w:rsidR="00A54F53" w:rsidRPr="00B7068D" w:rsidRDefault="00A54F53" w:rsidP="00A54F53">
      <w:pPr>
        <w:pStyle w:val="ListParagraph"/>
        <w:numPr>
          <w:ilvl w:val="0"/>
          <w:numId w:val="5"/>
        </w:numPr>
        <w:tabs>
          <w:tab w:val="left" w:pos="648"/>
        </w:tabs>
        <w:spacing w:before="0" w:after="60" w:line="252" w:lineRule="auto"/>
        <w:contextualSpacing w:val="0"/>
      </w:pPr>
      <w:r w:rsidRPr="00B7068D">
        <w:t>Type and quantity (in weight and volume) of commodity</w:t>
      </w:r>
    </w:p>
    <w:p w:rsidR="00A54F53" w:rsidRPr="00B7068D" w:rsidRDefault="00A54F53" w:rsidP="00A54F53">
      <w:pPr>
        <w:pStyle w:val="ListParagraph"/>
        <w:numPr>
          <w:ilvl w:val="0"/>
          <w:numId w:val="5"/>
        </w:numPr>
        <w:tabs>
          <w:tab w:val="left" w:pos="648"/>
        </w:tabs>
        <w:spacing w:before="0" w:after="60" w:line="252" w:lineRule="auto"/>
        <w:contextualSpacing w:val="0"/>
      </w:pPr>
      <w:r w:rsidRPr="00B7068D">
        <w:t>Specific route between point of origin (where trucks will be loaded) and destination (whe</w:t>
      </w:r>
      <w:r w:rsidR="00C52251">
        <w:t>re trucks will be off-loaded)</w:t>
      </w:r>
      <w:r w:rsidR="00A77216">
        <w:t xml:space="preserve">, with </w:t>
      </w:r>
      <w:r w:rsidRPr="00B7068D">
        <w:t xml:space="preserve">special attention </w:t>
      </w:r>
      <w:r w:rsidR="00A77216">
        <w:t xml:space="preserve">paid </w:t>
      </w:r>
      <w:r w:rsidRPr="00B7068D">
        <w:t>to seasonal accessibility of proposed roads and weig</w:t>
      </w:r>
      <w:r w:rsidR="00C52251">
        <w:t>ht restrictions on all bridges</w:t>
      </w:r>
    </w:p>
    <w:p w:rsidR="00A54F53" w:rsidRPr="00B7068D" w:rsidRDefault="00A54F53" w:rsidP="00A54F53">
      <w:pPr>
        <w:pStyle w:val="ListParagraph"/>
        <w:numPr>
          <w:ilvl w:val="0"/>
          <w:numId w:val="5"/>
        </w:numPr>
        <w:tabs>
          <w:tab w:val="left" w:pos="648"/>
        </w:tabs>
        <w:spacing w:before="0" w:after="60" w:line="252" w:lineRule="auto"/>
        <w:contextualSpacing w:val="0"/>
      </w:pPr>
      <w:r w:rsidRPr="00B7068D">
        <w:t>Size of trucks needed, and requirement for four-wheel drive</w:t>
      </w:r>
    </w:p>
    <w:p w:rsidR="00A54F53" w:rsidRPr="00B7068D" w:rsidRDefault="00396634" w:rsidP="00A54F53">
      <w:pPr>
        <w:pStyle w:val="ListParagraph"/>
        <w:numPr>
          <w:ilvl w:val="0"/>
          <w:numId w:val="5"/>
        </w:numPr>
        <w:tabs>
          <w:tab w:val="left" w:pos="648"/>
        </w:tabs>
        <w:spacing w:before="0" w:after="60" w:line="252" w:lineRule="auto"/>
        <w:contextualSpacing w:val="0"/>
      </w:pPr>
      <w:r>
        <w:t>Type of contract (</w:t>
      </w:r>
      <w:r w:rsidR="00A54F53" w:rsidRPr="00B7068D">
        <w:t>i.e.</w:t>
      </w:r>
      <w:r>
        <w:t>,</w:t>
      </w:r>
      <w:r w:rsidR="00A54F53" w:rsidRPr="00B7068D">
        <w:t xml:space="preserve"> trip charter, time charter of by the ton or ton/kilometer</w:t>
      </w:r>
      <w:r>
        <w:t>)</w:t>
      </w:r>
    </w:p>
    <w:p w:rsidR="00A54F53" w:rsidRPr="00B7068D" w:rsidRDefault="00A54F53" w:rsidP="00A54F53">
      <w:pPr>
        <w:pStyle w:val="ListParagraph"/>
        <w:numPr>
          <w:ilvl w:val="0"/>
          <w:numId w:val="5"/>
        </w:numPr>
        <w:tabs>
          <w:tab w:val="left" w:pos="648"/>
        </w:tabs>
        <w:spacing w:before="0" w:after="60" w:line="252" w:lineRule="auto"/>
        <w:contextualSpacing w:val="0"/>
      </w:pPr>
      <w:r w:rsidRPr="00B7068D">
        <w:t>Special handling conditions, if any</w:t>
      </w:r>
    </w:p>
    <w:p w:rsidR="00A54F53" w:rsidRPr="00A54F53" w:rsidRDefault="00A54F53" w:rsidP="00152A8F">
      <w:pPr>
        <w:pStyle w:val="ListParagraph"/>
        <w:numPr>
          <w:ilvl w:val="0"/>
          <w:numId w:val="5"/>
        </w:numPr>
        <w:tabs>
          <w:tab w:val="left" w:pos="648"/>
        </w:tabs>
        <w:spacing w:before="0" w:after="200" w:line="252" w:lineRule="auto"/>
        <w:contextualSpacing w:val="0"/>
        <w:rPr>
          <w:rFonts w:cs="Arial"/>
          <w:b/>
        </w:rPr>
      </w:pPr>
      <w:r w:rsidRPr="00B7068D">
        <w:t xml:space="preserve">If </w:t>
      </w:r>
      <w:r w:rsidR="00396634">
        <w:t>T</w:t>
      </w:r>
      <w:r w:rsidRPr="00B7068D">
        <w:t>B/L: routing, security procedures, border crossings procedures</w:t>
      </w:r>
    </w:p>
    <w:p w:rsidR="00BA26A3" w:rsidRDefault="00BA26A3" w:rsidP="00BA26A3">
      <w:pPr>
        <w:pStyle w:val="ListParagraph"/>
        <w:numPr>
          <w:ilvl w:val="0"/>
          <w:numId w:val="6"/>
        </w:numPr>
        <w:spacing w:before="0" w:after="200" w:line="252" w:lineRule="auto"/>
        <w:contextualSpacing w:val="0"/>
      </w:pPr>
      <w:r>
        <w:t xml:space="preserve">Watch for </w:t>
      </w:r>
      <w:r w:rsidRPr="00356319">
        <w:t>contract</w:t>
      </w:r>
      <w:r>
        <w:t>s</w:t>
      </w:r>
      <w:r w:rsidRPr="00356319">
        <w:t xml:space="preserve"> split into multiple tenders just below the thresholds for senior management review or competitive bidding requiring public advertisement</w:t>
      </w:r>
      <w:r w:rsidR="00C338C3">
        <w:t>.</w:t>
      </w:r>
    </w:p>
    <w:p w:rsidR="00CE123B" w:rsidRDefault="00BA26A3" w:rsidP="00152A8F">
      <w:pPr>
        <w:pStyle w:val="ListParagraph"/>
        <w:numPr>
          <w:ilvl w:val="0"/>
          <w:numId w:val="6"/>
        </w:numPr>
        <w:spacing w:before="0" w:after="60" w:line="252" w:lineRule="auto"/>
        <w:contextualSpacing w:val="0"/>
      </w:pPr>
      <w:r>
        <w:t>Provide c</w:t>
      </w:r>
      <w:r w:rsidR="00CE123B" w:rsidRPr="00356319">
        <w:t xml:space="preserve">lear </w:t>
      </w:r>
      <w:r w:rsidR="00152A8F">
        <w:t>qualification</w:t>
      </w:r>
      <w:r>
        <w:t xml:space="preserve"> criteria</w:t>
      </w:r>
      <w:r w:rsidR="00CE123B" w:rsidRPr="00356319">
        <w:t xml:space="preserve"> regarding capacity t</w:t>
      </w:r>
      <w:r w:rsidR="00B700BA">
        <w:t>o meet technical specifications</w:t>
      </w:r>
      <w:r w:rsidR="00C338C3">
        <w:t>.</w:t>
      </w:r>
      <w:r w:rsidR="00B700BA">
        <w:t xml:space="preserve"> </w:t>
      </w:r>
      <w:r>
        <w:t xml:space="preserve">Avoid criteria that </w:t>
      </w:r>
      <w:r w:rsidR="00CE123B" w:rsidRPr="00356319">
        <w:t xml:space="preserve">are </w:t>
      </w:r>
      <w:r w:rsidR="00152A8F">
        <w:t xml:space="preserve">too </w:t>
      </w:r>
      <w:r w:rsidR="00CE123B" w:rsidRPr="00356319">
        <w:t>narrow or tailored</w:t>
      </w:r>
      <w:r w:rsidR="00152A8F">
        <w:t xml:space="preserve"> </w:t>
      </w:r>
      <w:r w:rsidR="00152A8F" w:rsidRPr="00356319">
        <w:t xml:space="preserve">so that only one </w:t>
      </w:r>
      <w:r w:rsidR="00152A8F">
        <w:t>transporter</w:t>
      </w:r>
      <w:r w:rsidR="00152A8F" w:rsidRPr="00356319">
        <w:t xml:space="preserve"> can qualify</w:t>
      </w:r>
      <w:r>
        <w:t>.</w:t>
      </w:r>
      <w:r w:rsidR="00CE123B" w:rsidRPr="00356319">
        <w:t xml:space="preserve"> </w:t>
      </w:r>
      <w:r w:rsidR="00152A8F">
        <w:t>Minimum qualifications should include:</w:t>
      </w:r>
    </w:p>
    <w:p w:rsidR="00152A8F" w:rsidRPr="00152A8F" w:rsidRDefault="00152A8F" w:rsidP="00152A8F">
      <w:pPr>
        <w:pStyle w:val="ListParagraph"/>
        <w:numPr>
          <w:ilvl w:val="0"/>
          <w:numId w:val="7"/>
        </w:numPr>
        <w:tabs>
          <w:tab w:val="left" w:pos="648"/>
        </w:tabs>
        <w:spacing w:before="0" w:after="60" w:line="252" w:lineRule="auto"/>
        <w:contextualSpacing w:val="0"/>
        <w:rPr>
          <w:rFonts w:cs="Arial"/>
        </w:rPr>
      </w:pPr>
      <w:r w:rsidRPr="00152A8F">
        <w:rPr>
          <w:rFonts w:cs="Arial"/>
        </w:rPr>
        <w:t>Insured for the amount of commodity transported, per legal requirements of country of operation</w:t>
      </w:r>
    </w:p>
    <w:p w:rsidR="00152A8F" w:rsidRPr="00152A8F" w:rsidRDefault="00152A8F" w:rsidP="00152A8F">
      <w:pPr>
        <w:pStyle w:val="ListParagraph"/>
        <w:numPr>
          <w:ilvl w:val="0"/>
          <w:numId w:val="7"/>
        </w:numPr>
        <w:tabs>
          <w:tab w:val="left" w:pos="648"/>
        </w:tabs>
        <w:spacing w:before="0" w:after="60" w:line="252" w:lineRule="auto"/>
        <w:contextualSpacing w:val="0"/>
        <w:rPr>
          <w:rFonts w:cs="Arial"/>
        </w:rPr>
      </w:pPr>
      <w:r w:rsidRPr="00152A8F">
        <w:rPr>
          <w:rFonts w:cs="Arial"/>
        </w:rPr>
        <w:t>Licensed (company, vehicles, and drivers) by government in country of operation</w:t>
      </w:r>
    </w:p>
    <w:p w:rsidR="00152A8F" w:rsidRPr="00152A8F" w:rsidRDefault="00152A8F" w:rsidP="00152A8F">
      <w:pPr>
        <w:pStyle w:val="ListParagraph"/>
        <w:numPr>
          <w:ilvl w:val="0"/>
          <w:numId w:val="7"/>
        </w:numPr>
        <w:tabs>
          <w:tab w:val="left" w:pos="648"/>
        </w:tabs>
        <w:spacing w:before="0" w:after="200" w:line="252" w:lineRule="auto"/>
        <w:contextualSpacing w:val="0"/>
        <w:rPr>
          <w:rFonts w:cs="Arial"/>
        </w:rPr>
      </w:pPr>
      <w:r w:rsidRPr="00152A8F">
        <w:rPr>
          <w:rFonts w:cs="Arial"/>
        </w:rPr>
        <w:t>Demonstrated record of reliability and good performance as verified by references from other NGOs that have used their services</w:t>
      </w:r>
    </w:p>
    <w:p w:rsidR="00721431" w:rsidRDefault="00721431" w:rsidP="00C338C3">
      <w:pPr>
        <w:pStyle w:val="ListParagraph"/>
        <w:numPr>
          <w:ilvl w:val="0"/>
          <w:numId w:val="6"/>
        </w:numPr>
        <w:spacing w:before="0" w:after="200" w:line="252" w:lineRule="auto"/>
        <w:contextualSpacing w:val="0"/>
      </w:pPr>
      <w:r w:rsidRPr="00356319">
        <w:t>Ensure any requests for sole-sourcing are infrequent, justified in writing</w:t>
      </w:r>
      <w:r w:rsidR="00B174FC">
        <w:t>,</w:t>
      </w:r>
      <w:r w:rsidRPr="00356319">
        <w:t xml:space="preserve"> and authori</w:t>
      </w:r>
      <w:r>
        <w:t>z</w:t>
      </w:r>
      <w:r w:rsidRPr="00356319">
        <w:t>ed by a manager</w:t>
      </w:r>
      <w:r w:rsidR="00C338C3">
        <w:t>.</w:t>
      </w:r>
      <w:r w:rsidRPr="00356319">
        <w:t xml:space="preserve"> </w:t>
      </w:r>
    </w:p>
    <w:p w:rsidR="00CE123B" w:rsidRDefault="00CE123B" w:rsidP="00C338C3">
      <w:pPr>
        <w:pStyle w:val="ListParagraph"/>
        <w:numPr>
          <w:ilvl w:val="0"/>
          <w:numId w:val="6"/>
        </w:numPr>
        <w:spacing w:before="0" w:after="200" w:line="252" w:lineRule="auto"/>
        <w:contextualSpacing w:val="0"/>
      </w:pPr>
      <w:r w:rsidRPr="00356319">
        <w:t>Ensure bid advertising is</w:t>
      </w:r>
      <w:r w:rsidR="00A351EF">
        <w:t xml:space="preserve"> </w:t>
      </w:r>
      <w:r w:rsidRPr="00356319">
        <w:t>n</w:t>
      </w:r>
      <w:r w:rsidR="00A351EF">
        <w:t>o</w:t>
      </w:r>
      <w:r w:rsidRPr="00356319">
        <w:t xml:space="preserve">t restricted so as to favor certain </w:t>
      </w:r>
      <w:r w:rsidR="00BA26A3">
        <w:t>transport</w:t>
      </w:r>
      <w:r w:rsidRPr="00356319">
        <w:t xml:space="preserve">ers, and </w:t>
      </w:r>
      <w:r w:rsidR="00396634">
        <w:t>ensure</w:t>
      </w:r>
      <w:r w:rsidRPr="00356319">
        <w:t xml:space="preserve"> there</w:t>
      </w:r>
      <w:r w:rsidR="00396634">
        <w:t xml:space="preserve"> i</w:t>
      </w:r>
      <w:r w:rsidRPr="00356319">
        <w:t>s no advance release of insi</w:t>
      </w:r>
      <w:r w:rsidR="00C338C3">
        <w:t xml:space="preserve">der information to one bidder. </w:t>
      </w:r>
    </w:p>
    <w:p w:rsidR="00721431" w:rsidRPr="00C338C3" w:rsidRDefault="00CE123B" w:rsidP="00C338C3">
      <w:pPr>
        <w:pStyle w:val="ListParagraph"/>
        <w:numPr>
          <w:ilvl w:val="0"/>
          <w:numId w:val="6"/>
        </w:numPr>
        <w:spacing w:before="0" w:after="60" w:line="252" w:lineRule="auto"/>
        <w:contextualSpacing w:val="0"/>
        <w:rPr>
          <w:bCs/>
        </w:rPr>
      </w:pPr>
      <w:r w:rsidRPr="00C338C3">
        <w:rPr>
          <w:bCs/>
        </w:rPr>
        <w:t>Ensure transparency in the tendering process</w:t>
      </w:r>
      <w:r w:rsidR="00721431" w:rsidRPr="00C338C3">
        <w:rPr>
          <w:bCs/>
        </w:rPr>
        <w:t>.</w:t>
      </w:r>
      <w:bookmarkStart w:id="0" w:name="_GoBack"/>
      <w:bookmarkEnd w:id="0"/>
    </w:p>
    <w:p w:rsidR="00721431" w:rsidRDefault="00CE123B" w:rsidP="00C338C3">
      <w:pPr>
        <w:pStyle w:val="ListParagraph"/>
        <w:numPr>
          <w:ilvl w:val="0"/>
          <w:numId w:val="12"/>
        </w:numPr>
        <w:spacing w:before="0" w:after="60" w:line="252" w:lineRule="auto"/>
        <w:contextualSpacing w:val="0"/>
      </w:pPr>
      <w:r w:rsidRPr="00356319">
        <w:t>Use sealed bids and a tender committee with rep</w:t>
      </w:r>
      <w:r w:rsidR="00B700BA">
        <w:t>resentatives from several units</w:t>
      </w:r>
      <w:r w:rsidR="00396634">
        <w:t>,</w:t>
      </w:r>
      <w:r w:rsidR="00721431">
        <w:t xml:space="preserve"> who</w:t>
      </w:r>
      <w:r w:rsidR="00721431" w:rsidRPr="00356319">
        <w:t xml:space="preserve"> open</w:t>
      </w:r>
      <w:r w:rsidR="00721431">
        <w:t xml:space="preserve"> bids</w:t>
      </w:r>
      <w:r w:rsidR="00721431" w:rsidRPr="00356319">
        <w:t xml:space="preserve"> publicly and simultaneously</w:t>
      </w:r>
      <w:r w:rsidR="00396634">
        <w:t>.</w:t>
      </w:r>
    </w:p>
    <w:p w:rsidR="00721431" w:rsidRDefault="00721431" w:rsidP="00C338C3">
      <w:pPr>
        <w:pStyle w:val="ListParagraph"/>
        <w:numPr>
          <w:ilvl w:val="0"/>
          <w:numId w:val="12"/>
        </w:numPr>
        <w:spacing w:before="0" w:after="60" w:line="252" w:lineRule="auto"/>
        <w:contextualSpacing w:val="0"/>
      </w:pPr>
      <w:r w:rsidRPr="00356319">
        <w:t xml:space="preserve">Ensure coherence between the </w:t>
      </w:r>
      <w:r w:rsidR="00B700BA">
        <w:t xml:space="preserve">qualification </w:t>
      </w:r>
      <w:r w:rsidRPr="00356319">
        <w:t xml:space="preserve">criteria specified in bid documents and those used to select a </w:t>
      </w:r>
      <w:r>
        <w:t>transporte</w:t>
      </w:r>
      <w:r w:rsidRPr="00356319">
        <w:t>r</w:t>
      </w:r>
      <w:r w:rsidR="00396634">
        <w:t>.</w:t>
      </w:r>
    </w:p>
    <w:p w:rsidR="00993F2C" w:rsidRDefault="00993F2C" w:rsidP="00C338C3">
      <w:pPr>
        <w:pStyle w:val="ListParagraph"/>
        <w:numPr>
          <w:ilvl w:val="0"/>
          <w:numId w:val="12"/>
        </w:numPr>
        <w:spacing w:before="0" w:after="60" w:line="252" w:lineRule="auto"/>
        <w:contextualSpacing w:val="0"/>
      </w:pPr>
      <w:r>
        <w:t xml:space="preserve">Short-list more than </w:t>
      </w:r>
      <w:r w:rsidR="00396634">
        <w:t>one (</w:t>
      </w:r>
      <w:r>
        <w:t>1</w:t>
      </w:r>
      <w:r w:rsidR="00396634">
        <w:t>)</w:t>
      </w:r>
      <w:r>
        <w:t xml:space="preserve"> transporter to ensure backup if necessary</w:t>
      </w:r>
      <w:r w:rsidR="00396634">
        <w:t>.</w:t>
      </w:r>
    </w:p>
    <w:p w:rsidR="00721431" w:rsidRDefault="00721431" w:rsidP="00C338C3">
      <w:pPr>
        <w:pStyle w:val="ListParagraph"/>
        <w:numPr>
          <w:ilvl w:val="0"/>
          <w:numId w:val="12"/>
        </w:numPr>
        <w:spacing w:before="0" w:after="200" w:line="252" w:lineRule="auto"/>
        <w:contextualSpacing w:val="0"/>
      </w:pPr>
      <w:r>
        <w:t>Publish evaluation results</w:t>
      </w:r>
      <w:r w:rsidR="00396634">
        <w:t>.</w:t>
      </w:r>
    </w:p>
    <w:p w:rsidR="00721431" w:rsidRPr="00356319" w:rsidRDefault="00721431" w:rsidP="00B700BA">
      <w:pPr>
        <w:pStyle w:val="ListParagraph"/>
        <w:numPr>
          <w:ilvl w:val="0"/>
          <w:numId w:val="6"/>
        </w:numPr>
        <w:spacing w:before="0" w:after="60" w:line="252" w:lineRule="auto"/>
        <w:contextualSpacing w:val="0"/>
      </w:pPr>
      <w:r>
        <w:t xml:space="preserve">To reduce </w:t>
      </w:r>
      <w:r w:rsidR="00993F2C">
        <w:t>corruption</w:t>
      </w:r>
      <w:r>
        <w:t>, watch for:</w:t>
      </w:r>
    </w:p>
    <w:p w:rsidR="00721431" w:rsidRPr="00356319" w:rsidRDefault="00721431" w:rsidP="00B700BA">
      <w:pPr>
        <w:numPr>
          <w:ilvl w:val="0"/>
          <w:numId w:val="14"/>
        </w:numPr>
        <w:spacing w:before="0" w:after="60" w:line="252" w:lineRule="auto"/>
      </w:pPr>
      <w:r w:rsidRPr="00356319">
        <w:t>Improper acceptance of a late bid</w:t>
      </w:r>
    </w:p>
    <w:p w:rsidR="00721431" w:rsidRDefault="00721431" w:rsidP="00B700BA">
      <w:pPr>
        <w:numPr>
          <w:ilvl w:val="0"/>
          <w:numId w:val="14"/>
        </w:numPr>
        <w:spacing w:before="0" w:after="60" w:line="252" w:lineRule="auto"/>
      </w:pPr>
      <w:r w:rsidRPr="00356319">
        <w:t>Change in a bid after other bidders' prices are known</w:t>
      </w:r>
      <w:r>
        <w:t xml:space="preserve"> (</w:t>
      </w:r>
      <w:r w:rsidR="00396634">
        <w:t>t</w:t>
      </w:r>
      <w:r w:rsidRPr="00356319">
        <w:t>his is sometimes done by mistakes deliberately "planted" in a bid</w:t>
      </w:r>
      <w:r>
        <w:t>)</w:t>
      </w:r>
    </w:p>
    <w:p w:rsidR="00721431" w:rsidRPr="00356319" w:rsidRDefault="00721431" w:rsidP="00B700BA">
      <w:pPr>
        <w:numPr>
          <w:ilvl w:val="0"/>
          <w:numId w:val="14"/>
        </w:numPr>
        <w:spacing w:before="0" w:after="60" w:line="252" w:lineRule="auto"/>
      </w:pPr>
      <w:r w:rsidRPr="00356319">
        <w:t>Unusual bid patterns that could indicate collusion among bidders</w:t>
      </w:r>
    </w:p>
    <w:p w:rsidR="00A351EF" w:rsidRDefault="00A351EF">
      <w:pPr>
        <w:spacing w:before="0" w:after="200" w:line="276" w:lineRule="auto"/>
      </w:pPr>
      <w:r>
        <w:br w:type="page"/>
      </w:r>
    </w:p>
    <w:p w:rsidR="00721431" w:rsidRPr="00356319" w:rsidRDefault="00721431" w:rsidP="00B700BA">
      <w:pPr>
        <w:numPr>
          <w:ilvl w:val="0"/>
          <w:numId w:val="14"/>
        </w:numPr>
        <w:spacing w:before="0" w:after="60" w:line="252" w:lineRule="auto"/>
      </w:pPr>
      <w:r w:rsidRPr="00356319">
        <w:lastRenderedPageBreak/>
        <w:t xml:space="preserve">Documents from competing </w:t>
      </w:r>
      <w:r w:rsidR="00E1078E">
        <w:t>trans</w:t>
      </w:r>
      <w:r w:rsidR="00B700BA">
        <w:t>por</w:t>
      </w:r>
      <w:r w:rsidR="00E1078E">
        <w:t>t firm</w:t>
      </w:r>
      <w:r w:rsidRPr="00356319">
        <w:t>s contain similar or identical:</w:t>
      </w:r>
    </w:p>
    <w:p w:rsidR="00721431" w:rsidRPr="00356319" w:rsidRDefault="00721431" w:rsidP="00C338C3">
      <w:pPr>
        <w:numPr>
          <w:ilvl w:val="1"/>
          <w:numId w:val="4"/>
        </w:numPr>
        <w:spacing w:before="0" w:after="0" w:line="252" w:lineRule="auto"/>
      </w:pPr>
      <w:r w:rsidRPr="00356319">
        <w:t>Company names</w:t>
      </w:r>
    </w:p>
    <w:p w:rsidR="00721431" w:rsidRPr="00356319" w:rsidRDefault="00721431" w:rsidP="00C338C3">
      <w:pPr>
        <w:numPr>
          <w:ilvl w:val="1"/>
          <w:numId w:val="4"/>
        </w:numPr>
        <w:spacing w:before="0" w:after="0" w:line="252" w:lineRule="auto"/>
      </w:pPr>
      <w:r w:rsidRPr="00356319">
        <w:t>Handwriting/signatures</w:t>
      </w:r>
    </w:p>
    <w:p w:rsidR="00721431" w:rsidRPr="00356319" w:rsidRDefault="00721431" w:rsidP="00C338C3">
      <w:pPr>
        <w:numPr>
          <w:ilvl w:val="1"/>
          <w:numId w:val="4"/>
        </w:numPr>
        <w:spacing w:before="0" w:after="0" w:line="252" w:lineRule="auto"/>
      </w:pPr>
      <w:r w:rsidRPr="00356319">
        <w:t>Company stationery</w:t>
      </w:r>
    </w:p>
    <w:p w:rsidR="00721431" w:rsidRPr="00356319" w:rsidRDefault="00721431" w:rsidP="00C338C3">
      <w:pPr>
        <w:numPr>
          <w:ilvl w:val="1"/>
          <w:numId w:val="4"/>
        </w:numPr>
        <w:spacing w:before="0" w:after="0" w:line="252" w:lineRule="auto"/>
      </w:pPr>
      <w:r w:rsidRPr="00356319">
        <w:t>Staff names</w:t>
      </w:r>
    </w:p>
    <w:p w:rsidR="00721431" w:rsidRPr="00356319" w:rsidRDefault="00721431" w:rsidP="00C338C3">
      <w:pPr>
        <w:numPr>
          <w:ilvl w:val="1"/>
          <w:numId w:val="4"/>
        </w:numPr>
        <w:spacing w:before="0" w:after="0" w:line="252" w:lineRule="auto"/>
      </w:pPr>
      <w:r w:rsidRPr="00356319">
        <w:t>Email and postal addresses</w:t>
      </w:r>
    </w:p>
    <w:p w:rsidR="00721431" w:rsidRPr="00356319" w:rsidRDefault="00721431" w:rsidP="00C338C3">
      <w:pPr>
        <w:numPr>
          <w:ilvl w:val="1"/>
          <w:numId w:val="4"/>
        </w:numPr>
        <w:spacing w:before="0" w:after="0" w:line="252" w:lineRule="auto"/>
      </w:pPr>
      <w:r w:rsidRPr="00356319">
        <w:t>Invoice numbers (in sequence)</w:t>
      </w:r>
    </w:p>
    <w:p w:rsidR="00721431" w:rsidRPr="00356319" w:rsidRDefault="00721431" w:rsidP="00C338C3">
      <w:pPr>
        <w:numPr>
          <w:ilvl w:val="1"/>
          <w:numId w:val="4"/>
        </w:numPr>
        <w:spacing w:before="0" w:after="0" w:line="252" w:lineRule="auto"/>
      </w:pPr>
      <w:r w:rsidRPr="00356319">
        <w:t>Telephone numbers</w:t>
      </w:r>
    </w:p>
    <w:p w:rsidR="00721431" w:rsidRPr="00356319" w:rsidRDefault="00721431" w:rsidP="00C338C3">
      <w:pPr>
        <w:numPr>
          <w:ilvl w:val="1"/>
          <w:numId w:val="4"/>
        </w:numPr>
        <w:spacing w:before="0" w:after="60" w:line="252" w:lineRule="auto"/>
      </w:pPr>
      <w:r w:rsidRPr="00356319">
        <w:t>Calculations, errors, language, or spelling</w:t>
      </w:r>
    </w:p>
    <w:p w:rsidR="00721431" w:rsidRPr="00356319" w:rsidRDefault="00721431" w:rsidP="00E1078E">
      <w:pPr>
        <w:numPr>
          <w:ilvl w:val="0"/>
          <w:numId w:val="4"/>
        </w:numPr>
        <w:spacing w:before="0" w:after="60" w:line="252" w:lineRule="auto"/>
      </w:pPr>
      <w:r w:rsidRPr="00356319">
        <w:t>Drastic changes in pricing from previous contracts</w:t>
      </w:r>
    </w:p>
    <w:p w:rsidR="00721431" w:rsidRPr="00356319" w:rsidRDefault="00721431" w:rsidP="00C338C3">
      <w:pPr>
        <w:numPr>
          <w:ilvl w:val="0"/>
          <w:numId w:val="4"/>
        </w:numPr>
        <w:spacing w:before="0" w:after="60" w:line="252" w:lineRule="auto"/>
      </w:pPr>
      <w:r w:rsidRPr="00356319">
        <w:t>Seemingly unnecessary contacts with contractor personnel by persons other than the contracting officer during the solicitation, evalua</w:t>
      </w:r>
      <w:r>
        <w:t>tion, and negotiation processes</w:t>
      </w:r>
    </w:p>
    <w:p w:rsidR="00721431" w:rsidRPr="00356319" w:rsidRDefault="00721431" w:rsidP="00C338C3">
      <w:pPr>
        <w:numPr>
          <w:ilvl w:val="0"/>
          <w:numId w:val="4"/>
        </w:numPr>
        <w:spacing w:before="0" w:after="60" w:line="252" w:lineRule="auto"/>
      </w:pPr>
      <w:r w:rsidRPr="00356319">
        <w:t>Disqualification of any qualified bidder</w:t>
      </w:r>
    </w:p>
    <w:p w:rsidR="00721431" w:rsidRPr="00356319" w:rsidRDefault="00721431" w:rsidP="00C338C3">
      <w:pPr>
        <w:numPr>
          <w:ilvl w:val="0"/>
          <w:numId w:val="4"/>
        </w:numPr>
        <w:spacing w:before="0" w:after="200" w:line="252" w:lineRule="auto"/>
      </w:pPr>
      <w:r w:rsidRPr="00356319">
        <w:t>Allowing a low bidder to</w:t>
      </w:r>
      <w:r w:rsidR="00396634">
        <w:t xml:space="preserve"> withdraw without justification</w:t>
      </w:r>
    </w:p>
    <w:p w:rsidR="00993F2C" w:rsidRDefault="00993F2C" w:rsidP="00993F2C">
      <w:pPr>
        <w:pStyle w:val="ListParagraph"/>
        <w:numPr>
          <w:ilvl w:val="0"/>
          <w:numId w:val="6"/>
        </w:numPr>
        <w:spacing w:before="0" w:after="200" w:line="252" w:lineRule="auto"/>
        <w:contextualSpacing w:val="0"/>
      </w:pPr>
      <w:r>
        <w:t>If contracting multiple, small transport companies, negotiate contract terms with all jointly.</w:t>
      </w:r>
    </w:p>
    <w:p w:rsidR="00721431" w:rsidRDefault="00C338C3" w:rsidP="00C338C3">
      <w:pPr>
        <w:pStyle w:val="ListParagraph"/>
        <w:numPr>
          <w:ilvl w:val="0"/>
          <w:numId w:val="6"/>
        </w:numPr>
        <w:spacing w:before="0" w:after="60" w:line="252" w:lineRule="auto"/>
      </w:pPr>
      <w:r>
        <w:t>Include the following clauses in contracts / agreements for transporter services:</w:t>
      </w:r>
    </w:p>
    <w:p w:rsidR="00C338C3" w:rsidRPr="00C338C3" w:rsidRDefault="00C338C3" w:rsidP="00C338C3">
      <w:pPr>
        <w:pStyle w:val="ListParagraph"/>
        <w:numPr>
          <w:ilvl w:val="0"/>
          <w:numId w:val="10"/>
        </w:numPr>
        <w:tabs>
          <w:tab w:val="left" w:pos="648"/>
        </w:tabs>
        <w:spacing w:before="0" w:after="60" w:line="252" w:lineRule="auto"/>
        <w:contextualSpacing w:val="0"/>
        <w:rPr>
          <w:rFonts w:cs="Arial"/>
        </w:rPr>
      </w:pPr>
      <w:r w:rsidRPr="00C338C3">
        <w:rPr>
          <w:rFonts w:cs="Arial"/>
        </w:rPr>
        <w:t xml:space="preserve">Contract </w:t>
      </w:r>
      <w:r w:rsidR="00396634">
        <w:rPr>
          <w:rFonts w:cs="Arial"/>
        </w:rPr>
        <w:t>n</w:t>
      </w:r>
      <w:r w:rsidRPr="00C338C3">
        <w:rPr>
          <w:rFonts w:cs="Arial"/>
        </w:rPr>
        <w:t>umber</w:t>
      </w:r>
    </w:p>
    <w:p w:rsidR="00C338C3" w:rsidRPr="00C338C3" w:rsidRDefault="00C338C3" w:rsidP="00C338C3">
      <w:pPr>
        <w:pStyle w:val="ListParagraph"/>
        <w:numPr>
          <w:ilvl w:val="0"/>
          <w:numId w:val="10"/>
        </w:numPr>
        <w:tabs>
          <w:tab w:val="left" w:pos="648"/>
        </w:tabs>
        <w:spacing w:before="0" w:after="60" w:line="252" w:lineRule="auto"/>
        <w:contextualSpacing w:val="0"/>
        <w:rPr>
          <w:rFonts w:cs="Arial"/>
        </w:rPr>
      </w:pPr>
      <w:r w:rsidRPr="00C338C3">
        <w:rPr>
          <w:rFonts w:cs="Arial"/>
        </w:rPr>
        <w:t>Description of commodity to be transported</w:t>
      </w:r>
      <w:r w:rsidR="00B174FC">
        <w:rPr>
          <w:rFonts w:cs="Arial"/>
        </w:rPr>
        <w:t xml:space="preserve">, including generic </w:t>
      </w:r>
      <w:r w:rsidRPr="00C338C3">
        <w:rPr>
          <w:rFonts w:cs="Arial"/>
        </w:rPr>
        <w:t>name</w:t>
      </w:r>
      <w:r w:rsidR="00B174FC">
        <w:rPr>
          <w:rFonts w:cs="Arial"/>
        </w:rPr>
        <w:t xml:space="preserve"> (such as cereal, pulse</w:t>
      </w:r>
      <w:r w:rsidRPr="00C338C3">
        <w:rPr>
          <w:rFonts w:cs="Arial"/>
        </w:rPr>
        <w:t>,</w:t>
      </w:r>
      <w:r w:rsidR="00B174FC">
        <w:rPr>
          <w:rFonts w:cs="Arial"/>
        </w:rPr>
        <w:t xml:space="preserve"> or vegetable oil), expected total</w:t>
      </w:r>
      <w:r w:rsidRPr="00C338C3">
        <w:rPr>
          <w:rFonts w:cs="Arial"/>
        </w:rPr>
        <w:t xml:space="preserve"> volume</w:t>
      </w:r>
      <w:r w:rsidR="00396634">
        <w:rPr>
          <w:rFonts w:cs="Arial"/>
        </w:rPr>
        <w:t>,</w:t>
      </w:r>
      <w:r w:rsidRPr="00C338C3">
        <w:rPr>
          <w:rFonts w:cs="Arial"/>
        </w:rPr>
        <w:t xml:space="preserve"> and/or weight</w:t>
      </w:r>
    </w:p>
    <w:p w:rsidR="00C338C3" w:rsidRPr="00C338C3" w:rsidRDefault="00C338C3" w:rsidP="00C338C3">
      <w:pPr>
        <w:pStyle w:val="ListParagraph"/>
        <w:numPr>
          <w:ilvl w:val="0"/>
          <w:numId w:val="10"/>
        </w:numPr>
        <w:tabs>
          <w:tab w:val="left" w:pos="648"/>
        </w:tabs>
        <w:spacing w:before="0" w:after="60" w:line="252" w:lineRule="auto"/>
        <w:contextualSpacing w:val="0"/>
        <w:rPr>
          <w:rFonts w:cs="Arial"/>
        </w:rPr>
      </w:pPr>
      <w:r w:rsidRPr="00C338C3">
        <w:rPr>
          <w:rFonts w:cs="Arial"/>
        </w:rPr>
        <w:t xml:space="preserve">Unit value of commodity </w:t>
      </w:r>
    </w:p>
    <w:p w:rsidR="00C338C3" w:rsidRDefault="00C338C3" w:rsidP="00C338C3">
      <w:pPr>
        <w:pStyle w:val="ListParagraph"/>
        <w:numPr>
          <w:ilvl w:val="0"/>
          <w:numId w:val="10"/>
        </w:numPr>
        <w:tabs>
          <w:tab w:val="left" w:pos="648"/>
        </w:tabs>
        <w:spacing w:before="0" w:after="60" w:line="252" w:lineRule="auto"/>
        <w:contextualSpacing w:val="0"/>
      </w:pPr>
      <w:r>
        <w:t>Truck inspection requirements before loading</w:t>
      </w:r>
    </w:p>
    <w:p w:rsidR="00C338C3" w:rsidRDefault="00C338C3" w:rsidP="00C338C3">
      <w:pPr>
        <w:pStyle w:val="ListParagraph"/>
        <w:numPr>
          <w:ilvl w:val="0"/>
          <w:numId w:val="10"/>
        </w:numPr>
        <w:tabs>
          <w:tab w:val="left" w:pos="648"/>
        </w:tabs>
        <w:spacing w:before="0" w:after="60" w:line="252" w:lineRule="auto"/>
        <w:contextualSpacing w:val="0"/>
      </w:pPr>
      <w:r>
        <w:t>How commodity is to be loaded, secured, and off-loaded</w:t>
      </w:r>
    </w:p>
    <w:p w:rsidR="00C338C3" w:rsidRPr="00C338C3" w:rsidRDefault="00C338C3" w:rsidP="00C338C3">
      <w:pPr>
        <w:pStyle w:val="ListParagraph"/>
        <w:numPr>
          <w:ilvl w:val="0"/>
          <w:numId w:val="10"/>
        </w:numPr>
        <w:tabs>
          <w:tab w:val="left" w:pos="648"/>
        </w:tabs>
        <w:spacing w:before="0" w:after="60" w:line="252" w:lineRule="auto"/>
        <w:contextualSpacing w:val="0"/>
        <w:rPr>
          <w:rFonts w:cs="Arial"/>
        </w:rPr>
      </w:pPr>
      <w:r>
        <w:t>T</w:t>
      </w:r>
      <w:r w:rsidRPr="008E7B85">
        <w:t>ype and quality of trucks needed</w:t>
      </w:r>
    </w:p>
    <w:p w:rsidR="00C338C3" w:rsidRPr="00C338C3" w:rsidRDefault="00C338C3" w:rsidP="00C338C3">
      <w:pPr>
        <w:pStyle w:val="ListParagraph"/>
        <w:numPr>
          <w:ilvl w:val="0"/>
          <w:numId w:val="10"/>
        </w:numPr>
        <w:tabs>
          <w:tab w:val="left" w:pos="648"/>
        </w:tabs>
        <w:spacing w:before="0" w:after="60" w:line="252" w:lineRule="auto"/>
        <w:contextualSpacing w:val="0"/>
        <w:rPr>
          <w:rFonts w:cs="Arial"/>
        </w:rPr>
      </w:pPr>
      <w:r w:rsidRPr="00C338C3">
        <w:rPr>
          <w:rFonts w:cs="Arial"/>
        </w:rPr>
        <w:t>Party responsible for fuel, oil, servicing</w:t>
      </w:r>
      <w:r w:rsidR="00396634">
        <w:rPr>
          <w:rFonts w:cs="Arial"/>
        </w:rPr>
        <w:t>,</w:t>
      </w:r>
      <w:r w:rsidRPr="00C338C3">
        <w:rPr>
          <w:rFonts w:cs="Arial"/>
        </w:rPr>
        <w:t xml:space="preserve"> and repairs</w:t>
      </w:r>
    </w:p>
    <w:p w:rsidR="00C338C3" w:rsidRPr="00C338C3" w:rsidRDefault="00C338C3" w:rsidP="00C338C3">
      <w:pPr>
        <w:pStyle w:val="ListParagraph"/>
        <w:numPr>
          <w:ilvl w:val="0"/>
          <w:numId w:val="10"/>
        </w:numPr>
        <w:tabs>
          <w:tab w:val="left" w:pos="648"/>
        </w:tabs>
        <w:spacing w:before="0" w:after="60" w:line="252" w:lineRule="auto"/>
        <w:contextualSpacing w:val="0"/>
        <w:rPr>
          <w:rFonts w:cs="Arial"/>
        </w:rPr>
      </w:pPr>
      <w:r w:rsidRPr="00C338C3">
        <w:rPr>
          <w:rFonts w:cs="Arial"/>
        </w:rPr>
        <w:t>Details of clearing and forwarding agent (if applicable)</w:t>
      </w:r>
    </w:p>
    <w:p w:rsidR="00C338C3" w:rsidRPr="00C338C3" w:rsidRDefault="00C338C3" w:rsidP="00C338C3">
      <w:pPr>
        <w:pStyle w:val="ListParagraph"/>
        <w:numPr>
          <w:ilvl w:val="0"/>
          <w:numId w:val="10"/>
        </w:numPr>
        <w:tabs>
          <w:tab w:val="left" w:pos="648"/>
        </w:tabs>
        <w:spacing w:before="0" w:after="60" w:line="252" w:lineRule="auto"/>
        <w:contextualSpacing w:val="0"/>
        <w:rPr>
          <w:rFonts w:cs="Arial"/>
        </w:rPr>
      </w:pPr>
      <w:r w:rsidRPr="00C338C3">
        <w:rPr>
          <w:rFonts w:cs="Arial"/>
        </w:rPr>
        <w:t>Route (with specified deviations</w:t>
      </w:r>
      <w:r w:rsidR="00396634">
        <w:rPr>
          <w:rFonts w:cs="Arial"/>
        </w:rPr>
        <w:t>,</w:t>
      </w:r>
      <w:r w:rsidRPr="00C338C3">
        <w:rPr>
          <w:rFonts w:cs="Arial"/>
        </w:rPr>
        <w:t xml:space="preserve"> if any) and exact loading and unloading locations</w:t>
      </w:r>
    </w:p>
    <w:p w:rsidR="00C338C3" w:rsidRPr="00C338C3" w:rsidRDefault="00C338C3" w:rsidP="00C338C3">
      <w:pPr>
        <w:pStyle w:val="ListParagraph"/>
        <w:numPr>
          <w:ilvl w:val="0"/>
          <w:numId w:val="10"/>
        </w:numPr>
        <w:tabs>
          <w:tab w:val="left" w:pos="648"/>
        </w:tabs>
        <w:spacing w:before="0" w:after="60" w:line="252" w:lineRule="auto"/>
        <w:contextualSpacing w:val="0"/>
        <w:rPr>
          <w:rFonts w:cs="Arial"/>
        </w:rPr>
      </w:pPr>
      <w:r w:rsidRPr="00C338C3">
        <w:rPr>
          <w:rFonts w:cs="Arial"/>
        </w:rPr>
        <w:t>Non-Awardee cargo prohibited from being transported with Awardee commodities</w:t>
      </w:r>
    </w:p>
    <w:p w:rsidR="00C338C3" w:rsidRPr="00C338C3" w:rsidRDefault="00C338C3" w:rsidP="00C338C3">
      <w:pPr>
        <w:pStyle w:val="ListParagraph"/>
        <w:numPr>
          <w:ilvl w:val="0"/>
          <w:numId w:val="10"/>
        </w:numPr>
        <w:tabs>
          <w:tab w:val="left" w:pos="648"/>
        </w:tabs>
        <w:spacing w:before="0" w:after="60" w:line="252" w:lineRule="auto"/>
        <w:contextualSpacing w:val="0"/>
        <w:rPr>
          <w:rFonts w:cs="Arial"/>
        </w:rPr>
      </w:pPr>
      <w:r w:rsidRPr="00C338C3">
        <w:rPr>
          <w:rFonts w:cs="Arial"/>
        </w:rPr>
        <w:t>Handling non-Awardee cargo on return trips</w:t>
      </w:r>
    </w:p>
    <w:p w:rsidR="00C338C3" w:rsidRPr="00C338C3" w:rsidRDefault="00C338C3" w:rsidP="00C338C3">
      <w:pPr>
        <w:pStyle w:val="ListParagraph"/>
        <w:numPr>
          <w:ilvl w:val="0"/>
          <w:numId w:val="10"/>
        </w:numPr>
        <w:tabs>
          <w:tab w:val="left" w:pos="648"/>
        </w:tabs>
        <w:spacing w:before="0" w:after="60" w:line="252" w:lineRule="auto"/>
        <w:contextualSpacing w:val="0"/>
        <w:rPr>
          <w:rFonts w:cs="Arial"/>
        </w:rPr>
      </w:pPr>
      <w:r w:rsidRPr="00C338C3">
        <w:rPr>
          <w:rFonts w:cs="Arial"/>
        </w:rPr>
        <w:t>In the event an accident occurs and commodities are damaged, Awardee retains the commodities</w:t>
      </w:r>
      <w:r w:rsidR="00396634">
        <w:rPr>
          <w:rFonts w:cs="Arial"/>
        </w:rPr>
        <w:t>,</w:t>
      </w:r>
      <w:r w:rsidRPr="00C338C3">
        <w:rPr>
          <w:rFonts w:cs="Arial"/>
        </w:rPr>
        <w:t xml:space="preserve"> and they cannot be replaced in-kind by the transporter.</w:t>
      </w:r>
    </w:p>
    <w:p w:rsidR="00C52251" w:rsidRDefault="00C338C3" w:rsidP="00C52251">
      <w:pPr>
        <w:pStyle w:val="ListParagraph"/>
        <w:numPr>
          <w:ilvl w:val="0"/>
          <w:numId w:val="10"/>
        </w:numPr>
        <w:tabs>
          <w:tab w:val="left" w:pos="648"/>
        </w:tabs>
        <w:spacing w:before="0" w:after="60" w:line="252" w:lineRule="auto"/>
        <w:contextualSpacing w:val="0"/>
        <w:rPr>
          <w:rFonts w:cs="Arial"/>
        </w:rPr>
      </w:pPr>
      <w:r w:rsidRPr="00C338C3">
        <w:rPr>
          <w:rFonts w:cs="Arial"/>
        </w:rPr>
        <w:t>Security deposit or performance bond, if applicable, and conditions for return</w:t>
      </w:r>
    </w:p>
    <w:p w:rsidR="00C338C3" w:rsidRPr="00C52251" w:rsidRDefault="00C338C3" w:rsidP="00C52251">
      <w:pPr>
        <w:pStyle w:val="ListParagraph"/>
        <w:numPr>
          <w:ilvl w:val="0"/>
          <w:numId w:val="10"/>
        </w:numPr>
        <w:tabs>
          <w:tab w:val="left" w:pos="648"/>
        </w:tabs>
        <w:spacing w:before="0" w:after="60" w:line="252" w:lineRule="auto"/>
        <w:contextualSpacing w:val="0"/>
        <w:rPr>
          <w:rFonts w:cs="Arial"/>
        </w:rPr>
      </w:pPr>
      <w:r w:rsidRPr="00C52251">
        <w:rPr>
          <w:rFonts w:cs="Arial"/>
        </w:rPr>
        <w:t xml:space="preserve">Payment terms: </w:t>
      </w:r>
    </w:p>
    <w:p w:rsidR="00C338C3" w:rsidRPr="00C338C3" w:rsidRDefault="00C338C3" w:rsidP="00A351EF">
      <w:pPr>
        <w:pStyle w:val="ListParagraph"/>
        <w:numPr>
          <w:ilvl w:val="1"/>
          <w:numId w:val="10"/>
        </w:numPr>
        <w:spacing w:before="0" w:after="0" w:line="252" w:lineRule="auto"/>
        <w:ind w:left="1080"/>
        <w:contextualSpacing w:val="0"/>
        <w:rPr>
          <w:rFonts w:cs="Arial"/>
        </w:rPr>
      </w:pPr>
      <w:r w:rsidRPr="00C338C3">
        <w:rPr>
          <w:rFonts w:cs="Arial"/>
        </w:rPr>
        <w:t xml:space="preserve">Payment based on invoice submitted with copy of waybill signed by transporter </w:t>
      </w:r>
      <w:r w:rsidR="00396634">
        <w:rPr>
          <w:rFonts w:cs="Arial"/>
        </w:rPr>
        <w:t>and</w:t>
      </w:r>
      <w:r w:rsidRPr="00C338C3">
        <w:rPr>
          <w:rFonts w:cs="Arial"/>
        </w:rPr>
        <w:t xml:space="preserve"> receiver </w:t>
      </w:r>
    </w:p>
    <w:p w:rsidR="00C338C3" w:rsidRPr="00C338C3" w:rsidRDefault="00C338C3" w:rsidP="00A351EF">
      <w:pPr>
        <w:pStyle w:val="ListParagraph"/>
        <w:numPr>
          <w:ilvl w:val="1"/>
          <w:numId w:val="10"/>
        </w:numPr>
        <w:spacing w:before="0" w:after="0" w:line="252" w:lineRule="auto"/>
        <w:ind w:left="1080"/>
        <w:contextualSpacing w:val="0"/>
        <w:rPr>
          <w:rFonts w:cs="Arial"/>
        </w:rPr>
      </w:pPr>
      <w:r w:rsidRPr="00C338C3">
        <w:rPr>
          <w:rFonts w:cs="Arial"/>
        </w:rPr>
        <w:t>Requirement to submit invoices within a set number of days after commodity is delivered</w:t>
      </w:r>
    </w:p>
    <w:p w:rsidR="00C338C3" w:rsidRPr="00C338C3" w:rsidRDefault="00C338C3" w:rsidP="00A351EF">
      <w:pPr>
        <w:pStyle w:val="ListParagraph"/>
        <w:numPr>
          <w:ilvl w:val="1"/>
          <w:numId w:val="10"/>
        </w:numPr>
        <w:spacing w:before="0" w:after="0" w:line="252" w:lineRule="auto"/>
        <w:ind w:left="1080"/>
        <w:contextualSpacing w:val="0"/>
        <w:rPr>
          <w:rFonts w:cs="Arial"/>
        </w:rPr>
      </w:pPr>
      <w:r w:rsidRPr="00C338C3">
        <w:rPr>
          <w:rFonts w:cs="Arial"/>
        </w:rPr>
        <w:t>Penalties for delay and non-compliance with transport schedules</w:t>
      </w:r>
    </w:p>
    <w:p w:rsidR="00C338C3" w:rsidRPr="00C338C3" w:rsidRDefault="00C338C3" w:rsidP="00A351EF">
      <w:pPr>
        <w:pStyle w:val="ListParagraph"/>
        <w:numPr>
          <w:ilvl w:val="1"/>
          <w:numId w:val="10"/>
        </w:numPr>
        <w:spacing w:before="0" w:after="0" w:line="252" w:lineRule="auto"/>
        <w:ind w:left="1080"/>
        <w:contextualSpacing w:val="0"/>
        <w:rPr>
          <w:rFonts w:cs="Arial"/>
        </w:rPr>
      </w:pPr>
      <w:r w:rsidRPr="00C338C3">
        <w:rPr>
          <w:rFonts w:cs="Arial"/>
        </w:rPr>
        <w:t>Payment based on invoice value</w:t>
      </w:r>
      <w:r w:rsidR="00396634">
        <w:rPr>
          <w:rFonts w:cs="Arial"/>
        </w:rPr>
        <w:t>,</w:t>
      </w:r>
      <w:r w:rsidRPr="00C338C3">
        <w:rPr>
          <w:rFonts w:cs="Arial"/>
        </w:rPr>
        <w:t xml:space="preserve"> minus the value of any missing or damaged commodity </w:t>
      </w:r>
    </w:p>
    <w:p w:rsidR="00C97102" w:rsidRDefault="00C338C3" w:rsidP="00C338C3">
      <w:pPr>
        <w:pStyle w:val="ListParagraph"/>
        <w:numPr>
          <w:ilvl w:val="0"/>
          <w:numId w:val="10"/>
        </w:numPr>
        <w:tabs>
          <w:tab w:val="left" w:pos="648"/>
        </w:tabs>
        <w:spacing w:before="0" w:after="60" w:line="252" w:lineRule="auto"/>
        <w:contextualSpacing w:val="0"/>
        <w:rPr>
          <w:rFonts w:cs="Arial"/>
        </w:rPr>
      </w:pPr>
      <w:r w:rsidRPr="00C338C3">
        <w:rPr>
          <w:rFonts w:cs="Arial"/>
        </w:rPr>
        <w:t xml:space="preserve">Provisions for settlement of disputes, enforcement of the contract, and method of calculating value of losses </w:t>
      </w:r>
    </w:p>
    <w:p w:rsidR="00C52251" w:rsidRPr="00C338C3" w:rsidRDefault="00C52251" w:rsidP="00C338C3">
      <w:pPr>
        <w:pStyle w:val="ListParagraph"/>
        <w:numPr>
          <w:ilvl w:val="0"/>
          <w:numId w:val="10"/>
        </w:numPr>
        <w:tabs>
          <w:tab w:val="left" w:pos="648"/>
        </w:tabs>
        <w:spacing w:before="0" w:after="60" w:line="252" w:lineRule="auto"/>
        <w:contextualSpacing w:val="0"/>
        <w:rPr>
          <w:rFonts w:cs="Arial"/>
        </w:rPr>
      </w:pPr>
      <w:r>
        <w:rPr>
          <w:rFonts w:cs="Arial"/>
        </w:rPr>
        <w:t>Effective dates of contract (</w:t>
      </w:r>
      <w:r w:rsidRPr="00C52251">
        <w:rPr>
          <w:rFonts w:cs="Arial"/>
          <w:b/>
        </w:rPr>
        <w:t xml:space="preserve">NOTE: </w:t>
      </w:r>
      <w:r w:rsidR="00396634">
        <w:rPr>
          <w:rFonts w:cs="Arial"/>
          <w:b/>
        </w:rPr>
        <w:t>F</w:t>
      </w:r>
      <w:r w:rsidRPr="00C52251">
        <w:rPr>
          <w:rFonts w:cs="Arial"/>
          <w:b/>
        </w:rPr>
        <w:t>or multi-year projects, it is good practice to solicit fresh bids and issue new contracts each year</w:t>
      </w:r>
      <w:r w:rsidR="00A351EF">
        <w:rPr>
          <w:rFonts w:cs="Arial"/>
          <w:b/>
        </w:rPr>
        <w:t xml:space="preserve">. </w:t>
      </w:r>
      <w:r w:rsidR="00A77216">
        <w:rPr>
          <w:rFonts w:cs="Arial"/>
          <w:b/>
        </w:rPr>
        <w:t>This provides the opportunity to weed out poor performers and promote competition for the best service.</w:t>
      </w:r>
      <w:r>
        <w:rPr>
          <w:rFonts w:cs="Arial"/>
        </w:rPr>
        <w:t>)</w:t>
      </w:r>
    </w:p>
    <w:sectPr w:rsidR="00C52251" w:rsidRPr="00C338C3" w:rsidSect="005E432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BC" w:rsidRDefault="006308BC" w:rsidP="00FC68A2">
      <w:pPr>
        <w:spacing w:before="0" w:after="0"/>
      </w:pPr>
      <w:r>
        <w:separator/>
      </w:r>
    </w:p>
  </w:endnote>
  <w:endnote w:type="continuationSeparator" w:id="0">
    <w:p w:rsidR="006308BC" w:rsidRDefault="006308BC" w:rsidP="00FC68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0814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515DE" w:rsidRPr="001E4C5B" w:rsidRDefault="00F515DE">
            <w:pPr>
              <w:pStyle w:val="Footer"/>
              <w:jc w:val="center"/>
            </w:pPr>
            <w:r w:rsidRPr="001E4C5B">
              <w:t xml:space="preserve">Page </w:t>
            </w:r>
            <w:r w:rsidR="00160DC4" w:rsidRPr="001E4C5B">
              <w:fldChar w:fldCharType="begin"/>
            </w:r>
            <w:r w:rsidRPr="001E4C5B">
              <w:instrText xml:space="preserve"> PAGE </w:instrText>
            </w:r>
            <w:r w:rsidR="00160DC4" w:rsidRPr="001E4C5B">
              <w:fldChar w:fldCharType="separate"/>
            </w:r>
            <w:r w:rsidR="00A351EF">
              <w:rPr>
                <w:noProof/>
              </w:rPr>
              <w:t>1</w:t>
            </w:r>
            <w:r w:rsidR="00160DC4" w:rsidRPr="001E4C5B">
              <w:fldChar w:fldCharType="end"/>
            </w:r>
            <w:r w:rsidRPr="001E4C5B">
              <w:t xml:space="preserve"> of </w:t>
            </w:r>
            <w:r w:rsidR="00160DC4" w:rsidRPr="001E4C5B">
              <w:fldChar w:fldCharType="begin"/>
            </w:r>
            <w:r w:rsidRPr="001E4C5B">
              <w:instrText xml:space="preserve"> NUMPAGES  </w:instrText>
            </w:r>
            <w:r w:rsidR="00160DC4" w:rsidRPr="001E4C5B">
              <w:fldChar w:fldCharType="separate"/>
            </w:r>
            <w:r w:rsidR="00A351EF">
              <w:rPr>
                <w:noProof/>
              </w:rPr>
              <w:t>2</w:t>
            </w:r>
            <w:r w:rsidR="00160DC4" w:rsidRPr="001E4C5B">
              <w:fldChar w:fldCharType="end"/>
            </w:r>
          </w:p>
        </w:sdtContent>
      </w:sdt>
    </w:sdtContent>
  </w:sdt>
  <w:p w:rsidR="00F515DE" w:rsidRDefault="00F51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BC" w:rsidRDefault="006308BC" w:rsidP="00FC68A2">
      <w:pPr>
        <w:spacing w:before="0" w:after="0"/>
      </w:pPr>
      <w:r>
        <w:separator/>
      </w:r>
    </w:p>
  </w:footnote>
  <w:footnote w:type="continuationSeparator" w:id="0">
    <w:p w:rsidR="006308BC" w:rsidRDefault="006308BC" w:rsidP="00FC68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8A2" w:rsidRPr="00A067D0" w:rsidRDefault="00FC68A2" w:rsidP="00FC68A2">
    <w:pPr>
      <w:pStyle w:val="Header"/>
      <w:jc w:val="center"/>
      <w:rPr>
        <w:sz w:val="24"/>
        <w:szCs w:val="24"/>
      </w:rPr>
    </w:pPr>
    <w:r w:rsidRPr="001E4C5B">
      <w:rPr>
        <w:b/>
        <w:color w:val="237990"/>
        <w:sz w:val="28"/>
        <w:szCs w:val="28"/>
      </w:rPr>
      <w:t xml:space="preserve">Transport Contracting </w:t>
    </w:r>
    <w:r w:rsidR="009865CB">
      <w:rPr>
        <w:b/>
        <w:color w:val="237990"/>
        <w:sz w:val="28"/>
        <w:szCs w:val="28"/>
      </w:rPr>
      <w:t>GUIDELINES</w:t>
    </w:r>
  </w:p>
  <w:p w:rsidR="00FC68A2" w:rsidRDefault="00FC6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CB1"/>
    <w:multiLevelType w:val="hybridMultilevel"/>
    <w:tmpl w:val="00D441B4"/>
    <w:lvl w:ilvl="0" w:tplc="BEE052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37B2"/>
    <w:multiLevelType w:val="hybridMultilevel"/>
    <w:tmpl w:val="C804B88E"/>
    <w:lvl w:ilvl="0" w:tplc="08F4B9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0B72"/>
    <w:multiLevelType w:val="hybridMultilevel"/>
    <w:tmpl w:val="6B1815B8"/>
    <w:lvl w:ilvl="0" w:tplc="08F4B9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E60"/>
    <w:multiLevelType w:val="hybridMultilevel"/>
    <w:tmpl w:val="990AA24E"/>
    <w:lvl w:ilvl="0" w:tplc="08F4B9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938E8"/>
    <w:multiLevelType w:val="hybridMultilevel"/>
    <w:tmpl w:val="B8F65594"/>
    <w:lvl w:ilvl="0" w:tplc="08F4B9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5495C"/>
    <w:multiLevelType w:val="hybridMultilevel"/>
    <w:tmpl w:val="29946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7445E"/>
    <w:multiLevelType w:val="hybridMultilevel"/>
    <w:tmpl w:val="002286B0"/>
    <w:lvl w:ilvl="0" w:tplc="5E80D3C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4012B"/>
    <w:multiLevelType w:val="hybridMultilevel"/>
    <w:tmpl w:val="1E1C9690"/>
    <w:lvl w:ilvl="0" w:tplc="5E80D3C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20955"/>
    <w:multiLevelType w:val="hybridMultilevel"/>
    <w:tmpl w:val="7C0C679E"/>
    <w:lvl w:ilvl="0" w:tplc="08F4B9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21981"/>
    <w:multiLevelType w:val="hybridMultilevel"/>
    <w:tmpl w:val="22849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52A3"/>
    <w:multiLevelType w:val="hybridMultilevel"/>
    <w:tmpl w:val="B93CE842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76DD4"/>
    <w:multiLevelType w:val="hybridMultilevel"/>
    <w:tmpl w:val="295CF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C66D6B"/>
    <w:multiLevelType w:val="hybridMultilevel"/>
    <w:tmpl w:val="EA38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17BDB"/>
    <w:multiLevelType w:val="hybridMultilevel"/>
    <w:tmpl w:val="9B50F96C"/>
    <w:lvl w:ilvl="0" w:tplc="08F4B9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2F"/>
    <w:rsid w:val="00026341"/>
    <w:rsid w:val="0004209F"/>
    <w:rsid w:val="000476E6"/>
    <w:rsid w:val="000B75D5"/>
    <w:rsid w:val="001177E1"/>
    <w:rsid w:val="00150989"/>
    <w:rsid w:val="00152A8F"/>
    <w:rsid w:val="00160DC4"/>
    <w:rsid w:val="00165D64"/>
    <w:rsid w:val="001B5050"/>
    <w:rsid w:val="001C0BEF"/>
    <w:rsid w:val="001E4C5B"/>
    <w:rsid w:val="00211C33"/>
    <w:rsid w:val="002243F3"/>
    <w:rsid w:val="002305AD"/>
    <w:rsid w:val="00230F56"/>
    <w:rsid w:val="00245BE6"/>
    <w:rsid w:val="002E0D1A"/>
    <w:rsid w:val="00341B54"/>
    <w:rsid w:val="00356319"/>
    <w:rsid w:val="00371343"/>
    <w:rsid w:val="00396634"/>
    <w:rsid w:val="003B3689"/>
    <w:rsid w:val="00404A18"/>
    <w:rsid w:val="00407BBC"/>
    <w:rsid w:val="004671DA"/>
    <w:rsid w:val="004D30DA"/>
    <w:rsid w:val="004E103B"/>
    <w:rsid w:val="004E2173"/>
    <w:rsid w:val="005B721B"/>
    <w:rsid w:val="005E432F"/>
    <w:rsid w:val="006308BC"/>
    <w:rsid w:val="00674D7C"/>
    <w:rsid w:val="006869AA"/>
    <w:rsid w:val="006A45DB"/>
    <w:rsid w:val="006C2FDD"/>
    <w:rsid w:val="00721431"/>
    <w:rsid w:val="00722FAB"/>
    <w:rsid w:val="007508FE"/>
    <w:rsid w:val="008E7B85"/>
    <w:rsid w:val="00955387"/>
    <w:rsid w:val="009865CB"/>
    <w:rsid w:val="00993F2C"/>
    <w:rsid w:val="009E2092"/>
    <w:rsid w:val="009F7C51"/>
    <w:rsid w:val="00A067D0"/>
    <w:rsid w:val="00A1592A"/>
    <w:rsid w:val="00A16626"/>
    <w:rsid w:val="00A32CFD"/>
    <w:rsid w:val="00A351EF"/>
    <w:rsid w:val="00A54F53"/>
    <w:rsid w:val="00A61817"/>
    <w:rsid w:val="00A77216"/>
    <w:rsid w:val="00AA34D2"/>
    <w:rsid w:val="00AF7509"/>
    <w:rsid w:val="00B174FC"/>
    <w:rsid w:val="00B21479"/>
    <w:rsid w:val="00B700BA"/>
    <w:rsid w:val="00B71CAF"/>
    <w:rsid w:val="00B854DA"/>
    <w:rsid w:val="00BA26A3"/>
    <w:rsid w:val="00C338C3"/>
    <w:rsid w:val="00C421CF"/>
    <w:rsid w:val="00C52251"/>
    <w:rsid w:val="00CA502F"/>
    <w:rsid w:val="00CC693D"/>
    <w:rsid w:val="00CE123B"/>
    <w:rsid w:val="00D02416"/>
    <w:rsid w:val="00D36F40"/>
    <w:rsid w:val="00E1078E"/>
    <w:rsid w:val="00E44A2D"/>
    <w:rsid w:val="00E862B9"/>
    <w:rsid w:val="00F0269C"/>
    <w:rsid w:val="00F515DE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B902"/>
  <w15:docId w15:val="{002F0749-F08A-4FD5-A49E-9F018FD4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E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8A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C68A2"/>
  </w:style>
  <w:style w:type="paragraph" w:styleId="Footer">
    <w:name w:val="footer"/>
    <w:basedOn w:val="Normal"/>
    <w:link w:val="FooterChar"/>
    <w:uiPriority w:val="99"/>
    <w:unhideWhenUsed/>
    <w:rsid w:val="00FC68A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68A2"/>
  </w:style>
  <w:style w:type="paragraph" w:styleId="BalloonText">
    <w:name w:val="Balloon Text"/>
    <w:basedOn w:val="Normal"/>
    <w:link w:val="BalloonTextChar"/>
    <w:uiPriority w:val="99"/>
    <w:semiHidden/>
    <w:unhideWhenUsed/>
    <w:rsid w:val="00FC68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5</cp:revision>
  <cp:lastPrinted>2016-06-14T11:50:00Z</cp:lastPrinted>
  <dcterms:created xsi:type="dcterms:W3CDTF">2017-03-15T10:14:00Z</dcterms:created>
  <dcterms:modified xsi:type="dcterms:W3CDTF">2017-03-15T10:25:00Z</dcterms:modified>
</cp:coreProperties>
</file>