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CA" w:rsidRPr="00766AB4" w:rsidRDefault="00B11B71" w:rsidP="00766AB4">
      <w:pPr>
        <w:spacing w:before="0" w:after="200" w:line="252" w:lineRule="auto"/>
      </w:pPr>
      <w:r w:rsidRPr="00766AB4">
        <w:t xml:space="preserve">Expedited procurement options may be used to meet immediate needs in emergency response operations or when regular shipments for other programs are delayed. </w:t>
      </w:r>
      <w:r w:rsidR="006536CA" w:rsidRPr="00766AB4">
        <w:t xml:space="preserve">There are </w:t>
      </w:r>
      <w:r w:rsidR="00766AB4">
        <w:t>four</w:t>
      </w:r>
      <w:r w:rsidR="006536CA" w:rsidRPr="00766AB4">
        <w:t xml:space="preserve"> options:</w:t>
      </w:r>
    </w:p>
    <w:p w:rsidR="006536CA" w:rsidRPr="00766AB4" w:rsidRDefault="006536CA" w:rsidP="00766AB4">
      <w:pPr>
        <w:spacing w:before="0" w:after="200" w:line="252" w:lineRule="auto"/>
        <w:ind w:left="360"/>
      </w:pPr>
      <w:r w:rsidRPr="00E2247E">
        <w:rPr>
          <w:b/>
        </w:rPr>
        <w:t>Swap</w:t>
      </w:r>
      <w:r w:rsidR="00484640">
        <w:t xml:space="preserve">: </w:t>
      </w:r>
      <w:r w:rsidRPr="00766AB4">
        <w:t>One type of commodity (</w:t>
      </w:r>
      <w:r w:rsidR="00484640">
        <w:t>e.g.,</w:t>
      </w:r>
      <w:r w:rsidRPr="00766AB4">
        <w:t xml:space="preserve"> maize) is exchanged for another type (</w:t>
      </w:r>
      <w:r w:rsidR="00484640">
        <w:t>e.g., wheat).</w:t>
      </w:r>
      <w:r w:rsidRPr="00766AB4">
        <w:t xml:space="preserve"> With donor approval, swaps may be arranged with private local suppliers. </w:t>
      </w:r>
    </w:p>
    <w:p w:rsidR="006536CA" w:rsidRPr="00766AB4" w:rsidRDefault="006536CA" w:rsidP="00766AB4">
      <w:pPr>
        <w:spacing w:before="0" w:after="200" w:line="252" w:lineRule="auto"/>
        <w:ind w:left="360"/>
      </w:pPr>
      <w:r w:rsidRPr="00E2247E">
        <w:rPr>
          <w:b/>
        </w:rPr>
        <w:t>Loan</w:t>
      </w:r>
      <w:r w:rsidR="00484640">
        <w:t>:</w:t>
      </w:r>
      <w:r w:rsidRPr="00766AB4">
        <w:t xml:space="preserve"> The same type of commodity is borrowed from another program, another NGO, or a host government agency. </w:t>
      </w:r>
      <w:r w:rsidRPr="00E2247E">
        <w:rPr>
          <w:b/>
        </w:rPr>
        <w:t>All loans must be repaid</w:t>
      </w:r>
      <w:r w:rsidRPr="00766AB4">
        <w:t>.</w:t>
      </w:r>
    </w:p>
    <w:p w:rsidR="006536CA" w:rsidRPr="00766AB4" w:rsidRDefault="006536CA" w:rsidP="00766AB4">
      <w:pPr>
        <w:spacing w:before="0" w:after="200" w:line="252" w:lineRule="auto"/>
        <w:ind w:left="360"/>
      </w:pPr>
      <w:r w:rsidRPr="00E2247E">
        <w:rPr>
          <w:b/>
        </w:rPr>
        <w:t>Transfer</w:t>
      </w:r>
      <w:r w:rsidR="00484640">
        <w:t xml:space="preserve">: </w:t>
      </w:r>
      <w:r w:rsidRPr="00766AB4">
        <w:t>Commodity allocated to one approved USAID food assistance program is us</w:t>
      </w:r>
      <w:r w:rsidR="00484640">
        <w:t>ed by another approved program.</w:t>
      </w:r>
      <w:r w:rsidRPr="00766AB4">
        <w:t xml:space="preserve"> In addition to meeting temporary shortages due to delays in ocean transportation, transfers may be used to improve efficiency of operation, </w:t>
      </w:r>
      <w:r w:rsidR="00484640">
        <w:t>for example</w:t>
      </w:r>
      <w:r w:rsidRPr="00766AB4">
        <w:t xml:space="preserve"> to rapidly distribute stocks in danger of deterioration. </w:t>
      </w:r>
      <w:r w:rsidRPr="00E2247E">
        <w:rPr>
          <w:b/>
        </w:rPr>
        <w:t>Transfers are NOT repaid</w:t>
      </w:r>
      <w:r w:rsidRPr="00766AB4">
        <w:t>.</w:t>
      </w:r>
    </w:p>
    <w:p w:rsidR="006536CA" w:rsidRDefault="006536CA" w:rsidP="00E2247E">
      <w:pPr>
        <w:pStyle w:val="CommentText"/>
        <w:ind w:left="360"/>
        <w:rPr>
          <w:rFonts w:cs="Calibri"/>
        </w:rPr>
      </w:pPr>
      <w:r w:rsidRPr="00E2247E">
        <w:rPr>
          <w:b/>
          <w:sz w:val="22"/>
          <w:szCs w:val="22"/>
        </w:rPr>
        <w:t>Diversion</w:t>
      </w:r>
      <w:r w:rsidRPr="00E2247E">
        <w:rPr>
          <w:sz w:val="22"/>
          <w:szCs w:val="22"/>
        </w:rPr>
        <w:t xml:space="preserve">:  Commodity onboard a ship destined for </w:t>
      </w:r>
      <w:r w:rsidR="00E2247E" w:rsidRPr="00E2247E">
        <w:rPr>
          <w:sz w:val="22"/>
          <w:szCs w:val="22"/>
        </w:rPr>
        <w:t>one</w:t>
      </w:r>
      <w:r w:rsidRPr="00E2247E">
        <w:rPr>
          <w:sz w:val="22"/>
          <w:szCs w:val="22"/>
        </w:rPr>
        <w:t xml:space="preserve"> program is </w:t>
      </w:r>
      <w:r w:rsidR="00E2247E" w:rsidRPr="00E2247E">
        <w:rPr>
          <w:sz w:val="22"/>
          <w:szCs w:val="22"/>
        </w:rPr>
        <w:t>redirect</w:t>
      </w:r>
      <w:r w:rsidRPr="00E2247E">
        <w:rPr>
          <w:sz w:val="22"/>
          <w:szCs w:val="22"/>
        </w:rPr>
        <w:t xml:space="preserve">ed to meet the </w:t>
      </w:r>
      <w:r w:rsidR="00E2247E" w:rsidRPr="00E2247E">
        <w:rPr>
          <w:sz w:val="22"/>
          <w:szCs w:val="22"/>
        </w:rPr>
        <w:t xml:space="preserve">more urgent needs of another </w:t>
      </w:r>
      <w:r w:rsidRPr="00E2247E">
        <w:rPr>
          <w:sz w:val="22"/>
          <w:szCs w:val="22"/>
        </w:rPr>
        <w:t xml:space="preserve">program. </w:t>
      </w:r>
      <w:r w:rsidR="00E2247E" w:rsidRPr="00E2247E">
        <w:rPr>
          <w:rFonts w:cs="Calibri"/>
          <w:sz w:val="22"/>
          <w:szCs w:val="22"/>
        </w:rPr>
        <w:t>For example, commodities destined for the overseas pre</w:t>
      </w:r>
      <w:r w:rsidR="00484640">
        <w:rPr>
          <w:rFonts w:cs="Calibri"/>
          <w:sz w:val="22"/>
          <w:szCs w:val="22"/>
        </w:rPr>
        <w:t>-</w:t>
      </w:r>
      <w:r w:rsidR="00E2247E" w:rsidRPr="00E2247E">
        <w:rPr>
          <w:rFonts w:cs="Calibri"/>
          <w:sz w:val="22"/>
          <w:szCs w:val="22"/>
        </w:rPr>
        <w:t xml:space="preserve">positioning warehouses are often diverted to emergency programs. </w:t>
      </w:r>
      <w:r w:rsidR="00E2247E" w:rsidRPr="00E2247E">
        <w:rPr>
          <w:sz w:val="22"/>
          <w:szCs w:val="22"/>
        </w:rPr>
        <w:t>If the discharge port specified in the ocean freight contract does not change, only a nominal cost is incurred to revise the customs clearance documentation.</w:t>
      </w:r>
      <w:r w:rsidR="00E2247E">
        <w:rPr>
          <w:sz w:val="22"/>
          <w:szCs w:val="22"/>
        </w:rPr>
        <w:t xml:space="preserve"> I</w:t>
      </w:r>
      <w:r w:rsidR="00E2247E" w:rsidRPr="00E2247E">
        <w:rPr>
          <w:sz w:val="22"/>
          <w:szCs w:val="22"/>
        </w:rPr>
        <w:t xml:space="preserve">f the </w:t>
      </w:r>
      <w:r w:rsidR="00E2247E">
        <w:rPr>
          <w:sz w:val="22"/>
          <w:szCs w:val="22"/>
        </w:rPr>
        <w:t>ship is</w:t>
      </w:r>
      <w:r w:rsidR="00E2247E" w:rsidRPr="00E2247E">
        <w:rPr>
          <w:sz w:val="22"/>
          <w:szCs w:val="22"/>
        </w:rPr>
        <w:t xml:space="preserve"> redirected to a discharge port not specified in the freight contract</w:t>
      </w:r>
      <w:r w:rsidR="00E2247E">
        <w:rPr>
          <w:sz w:val="22"/>
          <w:szCs w:val="22"/>
        </w:rPr>
        <w:t>,</w:t>
      </w:r>
      <w:r w:rsidR="00E2247E" w:rsidRPr="00E2247E">
        <w:rPr>
          <w:sz w:val="22"/>
          <w:szCs w:val="22"/>
        </w:rPr>
        <w:t xml:space="preserve"> or if </w:t>
      </w:r>
      <w:r w:rsidR="00E2247E">
        <w:rPr>
          <w:sz w:val="22"/>
          <w:szCs w:val="22"/>
        </w:rPr>
        <w:t xml:space="preserve">the </w:t>
      </w:r>
      <w:r w:rsidR="00E2247E" w:rsidRPr="00E2247E">
        <w:rPr>
          <w:sz w:val="22"/>
          <w:szCs w:val="22"/>
        </w:rPr>
        <w:t>revised customs clearance documentation do</w:t>
      </w:r>
      <w:r w:rsidR="00484640">
        <w:rPr>
          <w:sz w:val="22"/>
          <w:szCs w:val="22"/>
        </w:rPr>
        <w:t>es</w:t>
      </w:r>
      <w:r w:rsidR="00E2247E" w:rsidRPr="00E2247E">
        <w:rPr>
          <w:sz w:val="22"/>
          <w:szCs w:val="22"/>
        </w:rPr>
        <w:t xml:space="preserve"> not arrive at the port before the </w:t>
      </w:r>
      <w:r w:rsidR="00E2247E">
        <w:rPr>
          <w:sz w:val="22"/>
          <w:szCs w:val="22"/>
        </w:rPr>
        <w:t>ship</w:t>
      </w:r>
      <w:r w:rsidR="00E2247E" w:rsidRPr="00E2247E">
        <w:rPr>
          <w:sz w:val="22"/>
          <w:szCs w:val="22"/>
        </w:rPr>
        <w:t>, expensive demurrage and port storage fees may be incurred.</w:t>
      </w:r>
    </w:p>
    <w:p w:rsidR="00E2247E" w:rsidRPr="00E2247E" w:rsidRDefault="00E2247E" w:rsidP="00E2247E">
      <w:pPr>
        <w:autoSpaceDE w:val="0"/>
        <w:autoSpaceDN w:val="0"/>
        <w:adjustRightInd w:val="0"/>
        <w:spacing w:before="60" w:after="60" w:line="252" w:lineRule="auto"/>
        <w:ind w:left="360"/>
        <w:rPr>
          <w:rFonts w:cs="Calibri"/>
        </w:rPr>
      </w:pPr>
    </w:p>
    <w:p w:rsidR="00C418E6" w:rsidRPr="00766AB4" w:rsidRDefault="00C418E6" w:rsidP="00766AB4">
      <w:pPr>
        <w:spacing w:before="0" w:after="200" w:line="252" w:lineRule="auto"/>
      </w:pPr>
      <w:r w:rsidRPr="00766AB4">
        <w:t>When considering expedited procurement options:</w:t>
      </w:r>
    </w:p>
    <w:p w:rsidR="00B11B71" w:rsidRPr="00766AB4" w:rsidRDefault="00B11B71" w:rsidP="00766AB4">
      <w:pPr>
        <w:numPr>
          <w:ilvl w:val="0"/>
          <w:numId w:val="1"/>
        </w:numPr>
        <w:spacing w:before="0" w:after="200" w:line="252" w:lineRule="auto"/>
        <w:ind w:left="360"/>
      </w:pPr>
      <w:r w:rsidRPr="00766AB4">
        <w:t xml:space="preserve">Receive </w:t>
      </w:r>
      <w:r w:rsidRPr="00E2247E">
        <w:rPr>
          <w:b/>
        </w:rPr>
        <w:t>written</w:t>
      </w:r>
      <w:r w:rsidRPr="00766AB4">
        <w:t xml:space="preserve"> donor approval before any movement </w:t>
      </w:r>
      <w:r w:rsidR="00C418E6" w:rsidRPr="00766AB4">
        <w:t xml:space="preserve">of commodity </w:t>
      </w:r>
      <w:r w:rsidRPr="00766AB4">
        <w:t>begins.</w:t>
      </w:r>
    </w:p>
    <w:p w:rsidR="00B11B71" w:rsidRPr="00766AB4" w:rsidRDefault="00B11B71" w:rsidP="00766AB4">
      <w:pPr>
        <w:numPr>
          <w:ilvl w:val="0"/>
          <w:numId w:val="1"/>
        </w:numPr>
        <w:spacing w:before="0" w:after="200" w:line="252" w:lineRule="auto"/>
        <w:ind w:left="360"/>
      </w:pPr>
      <w:r w:rsidRPr="00766AB4">
        <w:t>Document</w:t>
      </w:r>
      <w:r w:rsidR="00C418E6" w:rsidRPr="00766AB4">
        <w:t>-</w:t>
      </w:r>
      <w:r w:rsidR="00484640">
        <w:t>in advance</w:t>
      </w:r>
      <w:r w:rsidR="00C418E6" w:rsidRPr="00766AB4">
        <w:t>-</w:t>
      </w:r>
      <w:r w:rsidRPr="00766AB4">
        <w:t xml:space="preserve">the terms of all </w:t>
      </w:r>
      <w:r w:rsidR="00C418E6" w:rsidRPr="00766AB4">
        <w:t xml:space="preserve">swaps, </w:t>
      </w:r>
      <w:r w:rsidRPr="00766AB4">
        <w:t xml:space="preserve">loans, </w:t>
      </w:r>
      <w:r w:rsidR="00C418E6" w:rsidRPr="00766AB4">
        <w:t>and</w:t>
      </w:r>
      <w:r w:rsidRPr="00766AB4">
        <w:t xml:space="preserve"> transfers through signed letters of agreement betw</w:t>
      </w:r>
      <w:r w:rsidR="00766AB4">
        <w:t xml:space="preserve">een all the agencies involved. </w:t>
      </w:r>
      <w:r w:rsidRPr="00766AB4">
        <w:t>Include</w:t>
      </w:r>
      <w:r w:rsidR="00E903BE" w:rsidRPr="00766AB4">
        <w:t xml:space="preserve"> </w:t>
      </w:r>
      <w:r w:rsidR="00766AB4">
        <w:t>in the document</w:t>
      </w:r>
      <w:r w:rsidR="00484640">
        <w:t xml:space="preserve"> (</w:t>
      </w:r>
      <w:r w:rsidR="00E903BE" w:rsidRPr="00766AB4">
        <w:t>for both commodity to be received and, if applicable, commodity used for repayment</w:t>
      </w:r>
      <w:r w:rsidR="00484640">
        <w:t>)</w:t>
      </w:r>
      <w:r w:rsidRPr="00766AB4">
        <w:t xml:space="preserve">: </w:t>
      </w:r>
    </w:p>
    <w:p w:rsidR="00E903BE" w:rsidRPr="00766AB4" w:rsidRDefault="00E903BE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>Commodity t</w:t>
      </w:r>
      <w:r w:rsidR="00B11B71" w:rsidRPr="00766AB4">
        <w:t>ype</w:t>
      </w:r>
      <w:r w:rsidRPr="00766AB4">
        <w:t xml:space="preserve"> </w:t>
      </w:r>
    </w:p>
    <w:p w:rsidR="00E903BE" w:rsidRPr="00766AB4" w:rsidRDefault="00E903BE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>Commodity quantity</w:t>
      </w:r>
    </w:p>
    <w:p w:rsidR="00E903BE" w:rsidRPr="00766AB4" w:rsidRDefault="00E903BE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>Quality standards (BUBD, required lab tests or inspections and fumigation, if necessary)</w:t>
      </w:r>
    </w:p>
    <w:p w:rsidR="00E903BE" w:rsidRPr="00766AB4" w:rsidRDefault="00E903BE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>Packaging specifications (size</w:t>
      </w:r>
      <w:r w:rsidR="00B11B71" w:rsidRPr="00766AB4">
        <w:t xml:space="preserve">, </w:t>
      </w:r>
      <w:r w:rsidRPr="00766AB4">
        <w:t>material, required branding</w:t>
      </w:r>
      <w:r w:rsidR="00766AB4">
        <w:t xml:space="preserve"> and marking</w:t>
      </w:r>
      <w:r w:rsidRPr="00766AB4">
        <w:t>)</w:t>
      </w:r>
    </w:p>
    <w:p w:rsidR="00E903BE" w:rsidRDefault="00E903BE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 xml:space="preserve">Physical location of commodity receipt and, if appropriate, repayment </w:t>
      </w:r>
    </w:p>
    <w:p w:rsidR="00766AB4" w:rsidRPr="00766AB4" w:rsidRDefault="00766AB4" w:rsidP="00816403">
      <w:pPr>
        <w:numPr>
          <w:ilvl w:val="1"/>
          <w:numId w:val="3"/>
        </w:numPr>
        <w:spacing w:before="0" w:after="60" w:line="252" w:lineRule="auto"/>
        <w:ind w:left="720"/>
      </w:pPr>
      <w:r>
        <w:t>Party responsible for organiz</w:t>
      </w:r>
      <w:r w:rsidR="00484640">
        <w:t>ation</w:t>
      </w:r>
      <w:r>
        <w:t xml:space="preserve"> and payment of transport</w:t>
      </w:r>
    </w:p>
    <w:p w:rsidR="00B11B71" w:rsidRPr="00766AB4" w:rsidRDefault="00B11B71" w:rsidP="00816403">
      <w:pPr>
        <w:numPr>
          <w:ilvl w:val="1"/>
          <w:numId w:val="3"/>
        </w:numPr>
        <w:spacing w:before="0" w:after="60" w:line="252" w:lineRule="auto"/>
        <w:ind w:left="720"/>
      </w:pPr>
      <w:r w:rsidRPr="00766AB4">
        <w:t>Repayment terms</w:t>
      </w:r>
      <w:r w:rsidR="00C418E6" w:rsidRPr="00766AB4">
        <w:t xml:space="preserve"> (value-for-value or </w:t>
      </w:r>
      <w:r w:rsidRPr="00766AB4">
        <w:t>ton-for-ton</w:t>
      </w:r>
      <w:r w:rsidR="00C418E6" w:rsidRPr="00766AB4">
        <w:t>)</w:t>
      </w:r>
      <w:r w:rsidRPr="00766AB4">
        <w:t xml:space="preserve"> </w:t>
      </w:r>
    </w:p>
    <w:p w:rsidR="00B11B71" w:rsidRPr="00766AB4" w:rsidRDefault="00B11B71" w:rsidP="00766AB4">
      <w:pPr>
        <w:numPr>
          <w:ilvl w:val="1"/>
          <w:numId w:val="3"/>
        </w:numPr>
        <w:spacing w:before="0" w:after="200" w:line="252" w:lineRule="auto"/>
        <w:ind w:left="720"/>
      </w:pPr>
      <w:r w:rsidRPr="00766AB4">
        <w:t>Repayment</w:t>
      </w:r>
      <w:r w:rsidR="00484640">
        <w:t xml:space="preserve"> </w:t>
      </w:r>
      <w:r w:rsidRPr="00766AB4">
        <w:t>time limits</w:t>
      </w:r>
      <w:r w:rsidR="00E903BE" w:rsidRPr="00766AB4">
        <w:t xml:space="preserve"> and penalties for late repayment</w:t>
      </w:r>
      <w:r w:rsidRPr="00766AB4">
        <w:t xml:space="preserve"> </w:t>
      </w:r>
    </w:p>
    <w:p w:rsidR="002113B0" w:rsidRPr="00766AB4" w:rsidRDefault="00E903BE" w:rsidP="00766AB4">
      <w:pPr>
        <w:numPr>
          <w:ilvl w:val="0"/>
          <w:numId w:val="1"/>
        </w:numPr>
        <w:spacing w:before="0" w:after="200" w:line="252" w:lineRule="auto"/>
        <w:ind w:left="360"/>
      </w:pPr>
      <w:r w:rsidRPr="00766AB4">
        <w:t>Follow</w:t>
      </w:r>
      <w:r w:rsidR="00484640">
        <w:t xml:space="preserve"> </w:t>
      </w:r>
      <w:bookmarkStart w:id="0" w:name="_GoBack"/>
      <w:bookmarkEnd w:id="0"/>
      <w:r w:rsidRPr="00766AB4">
        <w:t>up regularly to e</w:t>
      </w:r>
      <w:r w:rsidR="00B11B71" w:rsidRPr="00766AB4">
        <w:t>nsure all loans and diversions are repaid according to the terms of the agreement.</w:t>
      </w:r>
    </w:p>
    <w:sectPr w:rsidR="002113B0" w:rsidRPr="00766AB4" w:rsidSect="009F762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8C" w:rsidRDefault="00DA7E8C" w:rsidP="009F7627">
      <w:pPr>
        <w:spacing w:before="0" w:after="0"/>
      </w:pPr>
      <w:r>
        <w:separator/>
      </w:r>
    </w:p>
  </w:endnote>
  <w:endnote w:type="continuationSeparator" w:id="0">
    <w:p w:rsidR="00DA7E8C" w:rsidRDefault="00DA7E8C" w:rsidP="009F7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72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418E6" w:rsidRPr="00766AB4" w:rsidRDefault="00C418E6">
            <w:pPr>
              <w:pStyle w:val="Footer"/>
              <w:jc w:val="center"/>
            </w:pPr>
            <w:r w:rsidRPr="00766AB4">
              <w:t xml:space="preserve">Page </w:t>
            </w:r>
            <w:r w:rsidR="00CD4B36" w:rsidRPr="00766AB4">
              <w:fldChar w:fldCharType="begin"/>
            </w:r>
            <w:r w:rsidRPr="00766AB4">
              <w:instrText xml:space="preserve"> PAGE </w:instrText>
            </w:r>
            <w:r w:rsidR="00CD4B36" w:rsidRPr="00766AB4">
              <w:fldChar w:fldCharType="separate"/>
            </w:r>
            <w:r w:rsidR="00484640">
              <w:rPr>
                <w:noProof/>
              </w:rPr>
              <w:t>1</w:t>
            </w:r>
            <w:r w:rsidR="00CD4B36" w:rsidRPr="00766AB4">
              <w:fldChar w:fldCharType="end"/>
            </w:r>
            <w:r w:rsidRPr="00766AB4">
              <w:t xml:space="preserve"> of </w:t>
            </w:r>
            <w:r w:rsidR="00CD4B36" w:rsidRPr="00766AB4">
              <w:fldChar w:fldCharType="begin"/>
            </w:r>
            <w:r w:rsidRPr="00766AB4">
              <w:instrText xml:space="preserve"> NUMPAGES  </w:instrText>
            </w:r>
            <w:r w:rsidR="00CD4B36" w:rsidRPr="00766AB4">
              <w:fldChar w:fldCharType="separate"/>
            </w:r>
            <w:r w:rsidR="00484640">
              <w:rPr>
                <w:noProof/>
              </w:rPr>
              <w:t>1</w:t>
            </w:r>
            <w:r w:rsidR="00CD4B36" w:rsidRPr="00766AB4">
              <w:fldChar w:fldCharType="end"/>
            </w:r>
          </w:p>
        </w:sdtContent>
      </w:sdt>
    </w:sdtContent>
  </w:sdt>
  <w:p w:rsidR="00C418E6" w:rsidRDefault="00C41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8C" w:rsidRDefault="00DA7E8C" w:rsidP="009F7627">
      <w:pPr>
        <w:spacing w:before="0" w:after="0"/>
      </w:pPr>
      <w:r>
        <w:separator/>
      </w:r>
    </w:p>
  </w:footnote>
  <w:footnote w:type="continuationSeparator" w:id="0">
    <w:p w:rsidR="00DA7E8C" w:rsidRDefault="00DA7E8C" w:rsidP="009F76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27" w:rsidRPr="009F7627" w:rsidRDefault="009F7627" w:rsidP="009F7627">
    <w:pPr>
      <w:pStyle w:val="Header"/>
      <w:jc w:val="center"/>
      <w:rPr>
        <w:b/>
        <w:sz w:val="28"/>
        <w:szCs w:val="28"/>
      </w:rPr>
    </w:pPr>
    <w:bookmarkStart w:id="1" w:name="_Toc265732719"/>
    <w:r w:rsidRPr="00766AB4">
      <w:rPr>
        <w:b/>
        <w:color w:val="237990"/>
        <w:sz w:val="28"/>
        <w:szCs w:val="28"/>
      </w:rPr>
      <w:t xml:space="preserve">Expedited </w:t>
    </w:r>
    <w:r w:rsidR="00E4442C" w:rsidRPr="00766AB4">
      <w:rPr>
        <w:b/>
        <w:color w:val="237990"/>
        <w:sz w:val="28"/>
        <w:szCs w:val="28"/>
      </w:rPr>
      <w:t xml:space="preserve">Commodity </w:t>
    </w:r>
    <w:r w:rsidRPr="00766AB4">
      <w:rPr>
        <w:b/>
        <w:color w:val="237990"/>
        <w:sz w:val="28"/>
        <w:szCs w:val="28"/>
      </w:rPr>
      <w:t xml:space="preserve">Procurement </w:t>
    </w:r>
    <w:bookmarkEnd w:id="1"/>
    <w:r w:rsidR="00FE2F3C" w:rsidRPr="00766AB4">
      <w:rPr>
        <w:b/>
        <w:color w:val="237990"/>
        <w:sz w:val="28"/>
        <w:szCs w:val="28"/>
      </w:rPr>
      <w:t>GUIDELINES</w:t>
    </w:r>
  </w:p>
  <w:p w:rsidR="009F7627" w:rsidRDefault="009F7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BC3"/>
    <w:multiLevelType w:val="hybridMultilevel"/>
    <w:tmpl w:val="BC8E3D1E"/>
    <w:lvl w:ilvl="0" w:tplc="28E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C65D6"/>
    <w:multiLevelType w:val="hybridMultilevel"/>
    <w:tmpl w:val="416882CC"/>
    <w:lvl w:ilvl="0" w:tplc="01BA83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7066DA6">
      <w:start w:val="1"/>
      <w:numFmt w:val="bullet"/>
      <w:lvlText w:val="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7727"/>
    <w:multiLevelType w:val="hybridMultilevel"/>
    <w:tmpl w:val="C25A92DC"/>
    <w:lvl w:ilvl="0" w:tplc="01BA83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61BA7A1E">
      <w:start w:val="1"/>
      <w:numFmt w:val="bullet"/>
      <w:lvlText w:val="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B71"/>
    <w:rsid w:val="00026341"/>
    <w:rsid w:val="000B75D5"/>
    <w:rsid w:val="0016562C"/>
    <w:rsid w:val="00165D64"/>
    <w:rsid w:val="002243F3"/>
    <w:rsid w:val="002305AD"/>
    <w:rsid w:val="00230F56"/>
    <w:rsid w:val="002E0D1A"/>
    <w:rsid w:val="00341B54"/>
    <w:rsid w:val="00371343"/>
    <w:rsid w:val="003F65AD"/>
    <w:rsid w:val="00403C28"/>
    <w:rsid w:val="00404A18"/>
    <w:rsid w:val="00407BBC"/>
    <w:rsid w:val="00484640"/>
    <w:rsid w:val="004D58CC"/>
    <w:rsid w:val="004E103B"/>
    <w:rsid w:val="005B721B"/>
    <w:rsid w:val="006536CA"/>
    <w:rsid w:val="00665A92"/>
    <w:rsid w:val="006A32BC"/>
    <w:rsid w:val="006C5756"/>
    <w:rsid w:val="006F26F5"/>
    <w:rsid w:val="00766AB4"/>
    <w:rsid w:val="007F7123"/>
    <w:rsid w:val="00816403"/>
    <w:rsid w:val="00824B10"/>
    <w:rsid w:val="009671EE"/>
    <w:rsid w:val="009C31D1"/>
    <w:rsid w:val="009E0F60"/>
    <w:rsid w:val="009F7627"/>
    <w:rsid w:val="00A16626"/>
    <w:rsid w:val="00A27AC9"/>
    <w:rsid w:val="00A61817"/>
    <w:rsid w:val="00AC5B34"/>
    <w:rsid w:val="00AE19B9"/>
    <w:rsid w:val="00B008B6"/>
    <w:rsid w:val="00B11B71"/>
    <w:rsid w:val="00B502FF"/>
    <w:rsid w:val="00B6531B"/>
    <w:rsid w:val="00C418E6"/>
    <w:rsid w:val="00C434B3"/>
    <w:rsid w:val="00C70E0B"/>
    <w:rsid w:val="00CA502F"/>
    <w:rsid w:val="00CB187C"/>
    <w:rsid w:val="00CC693D"/>
    <w:rsid w:val="00CD4B36"/>
    <w:rsid w:val="00DA7E8C"/>
    <w:rsid w:val="00E2247E"/>
    <w:rsid w:val="00E4442C"/>
    <w:rsid w:val="00E903BE"/>
    <w:rsid w:val="00EA31FA"/>
    <w:rsid w:val="00F25E11"/>
    <w:rsid w:val="00F95FD1"/>
    <w:rsid w:val="00FE2F3C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2EF9"/>
  <w15:docId w15:val="{6534810A-4AFC-4FEC-B7AA-5A3B0AE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76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F7627"/>
  </w:style>
  <w:style w:type="paragraph" w:styleId="Footer">
    <w:name w:val="footer"/>
    <w:basedOn w:val="Normal"/>
    <w:link w:val="FooterChar"/>
    <w:uiPriority w:val="99"/>
    <w:unhideWhenUsed/>
    <w:rsid w:val="009F76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F7627"/>
  </w:style>
  <w:style w:type="paragraph" w:styleId="BalloonText">
    <w:name w:val="Balloon Text"/>
    <w:basedOn w:val="Normal"/>
    <w:link w:val="BalloonTextChar"/>
    <w:uiPriority w:val="99"/>
    <w:semiHidden/>
    <w:unhideWhenUsed/>
    <w:rsid w:val="009F76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6C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22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2016-06-13T12:24:00Z</cp:lastPrinted>
  <dcterms:created xsi:type="dcterms:W3CDTF">2017-03-14T16:06:00Z</dcterms:created>
  <dcterms:modified xsi:type="dcterms:W3CDTF">2017-03-14T16:06:00Z</dcterms:modified>
</cp:coreProperties>
</file>