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8595"/>
      </w:tblGrid>
      <w:tr w:rsidR="00A86FCB" w:rsidRPr="005E432F" w:rsidTr="000A6875">
        <w:tc>
          <w:tcPr>
            <w:tcW w:w="648" w:type="dxa"/>
          </w:tcPr>
          <w:p w:rsidR="00A86FCB" w:rsidRPr="00E66321" w:rsidRDefault="00A86FCB" w:rsidP="00E66321">
            <w:pPr>
              <w:spacing w:after="0"/>
              <w:rPr>
                <w:sz w:val="28"/>
                <w:szCs w:val="28"/>
              </w:rPr>
            </w:pPr>
            <w:r w:rsidRPr="00E66321">
              <w:rPr>
                <w:sz w:val="28"/>
                <w:szCs w:val="28"/>
              </w:rPr>
              <w:sym w:font="Webdings" w:char="F063"/>
            </w:r>
          </w:p>
        </w:tc>
        <w:tc>
          <w:tcPr>
            <w:tcW w:w="8595" w:type="dxa"/>
          </w:tcPr>
          <w:p w:rsidR="001E6FFA" w:rsidRDefault="00E66321" w:rsidP="0031630C">
            <w:pPr>
              <w:spacing w:after="0" w:line="252" w:lineRule="auto"/>
            </w:pPr>
            <w:r w:rsidRPr="0031630C">
              <w:t>Call forward (order)</w:t>
            </w:r>
            <w:r w:rsidR="00106D14" w:rsidRPr="0031630C">
              <w:t xml:space="preserve"> adequate quantity of commodity</w:t>
            </w:r>
            <w:r w:rsidR="001A3F16">
              <w:t>,</w:t>
            </w:r>
            <w:r w:rsidR="00106D14" w:rsidRPr="0031630C">
              <w:t xml:space="preserve"> in </w:t>
            </w:r>
          </w:p>
          <w:p w:rsidR="00A86FCB" w:rsidRPr="0031630C" w:rsidRDefault="00106D14" w:rsidP="001E6FFA">
            <w:pPr>
              <w:spacing w:before="0" w:after="0" w:line="252" w:lineRule="auto"/>
            </w:pPr>
            <w:r w:rsidRPr="0031630C">
              <w:t>case rate changes and amount received is decreased</w:t>
            </w:r>
            <w:r w:rsidR="001A3F16">
              <w:t>.</w:t>
            </w:r>
          </w:p>
        </w:tc>
      </w:tr>
      <w:tr w:rsidR="00F96450" w:rsidRPr="005E432F" w:rsidTr="000A6875">
        <w:tc>
          <w:tcPr>
            <w:tcW w:w="648" w:type="dxa"/>
          </w:tcPr>
          <w:p w:rsidR="00F96450" w:rsidRPr="00E66321" w:rsidRDefault="00F96450" w:rsidP="00E66321">
            <w:pPr>
              <w:spacing w:after="0"/>
              <w:rPr>
                <w:sz w:val="28"/>
                <w:szCs w:val="28"/>
              </w:rPr>
            </w:pPr>
            <w:r w:rsidRPr="00E66321">
              <w:rPr>
                <w:sz w:val="28"/>
                <w:szCs w:val="28"/>
              </w:rPr>
              <w:sym w:font="Webdings" w:char="F063"/>
            </w:r>
          </w:p>
        </w:tc>
        <w:tc>
          <w:tcPr>
            <w:tcW w:w="8595" w:type="dxa"/>
          </w:tcPr>
          <w:p w:rsidR="00F96450" w:rsidRPr="0031630C" w:rsidRDefault="00F96450" w:rsidP="0031630C">
            <w:pPr>
              <w:spacing w:after="0" w:line="252" w:lineRule="auto"/>
            </w:pPr>
            <w:r w:rsidRPr="0031630C">
              <w:t>Determine cargo packaging</w:t>
            </w:r>
          </w:p>
          <w:p w:rsidR="00F96450" w:rsidRPr="0031630C" w:rsidRDefault="00F96450" w:rsidP="0031630C">
            <w:pPr>
              <w:pStyle w:val="ListParagraph"/>
              <w:numPr>
                <w:ilvl w:val="0"/>
                <w:numId w:val="9"/>
              </w:numPr>
              <w:spacing w:after="0" w:line="252" w:lineRule="auto"/>
              <w:contextualSpacing w:val="0"/>
              <w:rPr>
                <w:rFonts w:ascii="Calibri" w:eastAsia="Times New Roman" w:hAnsi="Calibri" w:cs="Times New Roman"/>
                <w:color w:val="000000"/>
              </w:rPr>
            </w:pPr>
            <w:r w:rsidRPr="00695BA9">
              <w:rPr>
                <w:rFonts w:ascii="Calibri" w:eastAsia="Times New Roman" w:hAnsi="Calibri" w:cs="Times New Roman"/>
                <w:b/>
                <w:color w:val="000000"/>
              </w:rPr>
              <w:t>Containerized</w:t>
            </w:r>
            <w:r w:rsidRPr="0031630C">
              <w:rPr>
                <w:rFonts w:ascii="Calibri" w:eastAsia="Times New Roman" w:hAnsi="Calibri" w:cs="Times New Roman"/>
                <w:color w:val="000000"/>
              </w:rPr>
              <w:t xml:space="preserve"> cargo is shipped in 20</w:t>
            </w:r>
            <w:r w:rsidR="001A3F16">
              <w:rPr>
                <w:rFonts w:ascii="Calibri" w:eastAsia="Times New Roman" w:hAnsi="Calibri" w:cs="Times New Roman"/>
                <w:color w:val="000000"/>
              </w:rPr>
              <w:t>-</w:t>
            </w:r>
            <w:r w:rsidRPr="0031630C">
              <w:rPr>
                <w:rFonts w:ascii="Calibri" w:eastAsia="Times New Roman" w:hAnsi="Calibri" w:cs="Times New Roman"/>
                <w:color w:val="000000"/>
              </w:rPr>
              <w:t xml:space="preserve"> or</w:t>
            </w:r>
            <w:r w:rsidR="001A3F16">
              <w:rPr>
                <w:rFonts w:ascii="Calibri" w:eastAsia="Times New Roman" w:hAnsi="Calibri" w:cs="Times New Roman"/>
                <w:color w:val="000000"/>
              </w:rPr>
              <w:t>-</w:t>
            </w:r>
            <w:r w:rsidRPr="0031630C">
              <w:rPr>
                <w:rFonts w:ascii="Calibri" w:eastAsia="Times New Roman" w:hAnsi="Calibri" w:cs="Times New Roman"/>
                <w:color w:val="000000"/>
              </w:rPr>
              <w:t xml:space="preserve"> 40 foot containers sealed in the country of export to prohibit tampering. Shipping cargo in containers greatly reduces handling-related losses and protects cargo from moisture-related damage, yet port discharge capacity and the availability of ground transport to carry loaded containers must be verified. </w:t>
            </w:r>
            <w:r w:rsidR="0031630C">
              <w:rPr>
                <w:rFonts w:ascii="Calibri" w:eastAsia="Times New Roman" w:hAnsi="Calibri" w:cs="Times New Roman"/>
                <w:color w:val="000000"/>
              </w:rPr>
              <w:t>Containerized shipment</w:t>
            </w:r>
            <w:r w:rsidR="001A3F16">
              <w:rPr>
                <w:rFonts w:ascii="Calibri" w:eastAsia="Times New Roman" w:hAnsi="Calibri" w:cs="Times New Roman"/>
                <w:color w:val="000000"/>
              </w:rPr>
              <w:t>s for vegetable oil may be cost-</w:t>
            </w:r>
            <w:r w:rsidR="0031630C">
              <w:rPr>
                <w:rFonts w:ascii="Calibri" w:eastAsia="Times New Roman" w:hAnsi="Calibri" w:cs="Times New Roman"/>
                <w:color w:val="000000"/>
              </w:rPr>
              <w:t>effective.</w:t>
            </w:r>
          </w:p>
          <w:p w:rsidR="00F96450" w:rsidRPr="0031630C" w:rsidRDefault="00F96450" w:rsidP="0031630C">
            <w:pPr>
              <w:pStyle w:val="ListParagraph"/>
              <w:numPr>
                <w:ilvl w:val="0"/>
                <w:numId w:val="9"/>
              </w:numPr>
              <w:spacing w:after="0" w:line="252" w:lineRule="auto"/>
              <w:contextualSpacing w:val="0"/>
              <w:rPr>
                <w:rFonts w:ascii="Calibri" w:eastAsia="Times New Roman" w:hAnsi="Calibri" w:cs="Times New Roman"/>
                <w:color w:val="000000"/>
              </w:rPr>
            </w:pPr>
            <w:r w:rsidRPr="00695BA9">
              <w:rPr>
                <w:rFonts w:ascii="Calibri" w:eastAsia="Times New Roman" w:hAnsi="Calibri" w:cs="Times New Roman"/>
                <w:b/>
                <w:color w:val="000000"/>
              </w:rPr>
              <w:t>Break bulk</w:t>
            </w:r>
            <w:r w:rsidRPr="0031630C">
              <w:rPr>
                <w:rFonts w:ascii="Calibri" w:eastAsia="Times New Roman" w:hAnsi="Calibri" w:cs="Times New Roman"/>
                <w:color w:val="000000"/>
              </w:rPr>
              <w:t xml:space="preserve"> cargo is pre-packaged in individual bags (usually 25 or 50 kg), tins</w:t>
            </w:r>
            <w:r w:rsidR="001A3F16">
              <w:rPr>
                <w:rFonts w:ascii="Calibri" w:eastAsia="Times New Roman" w:hAnsi="Calibri" w:cs="Times New Roman"/>
                <w:color w:val="000000"/>
              </w:rPr>
              <w:t>,</w:t>
            </w:r>
            <w:r w:rsidRPr="0031630C">
              <w:rPr>
                <w:rFonts w:ascii="Calibri" w:eastAsia="Times New Roman" w:hAnsi="Calibri" w:cs="Times New Roman"/>
                <w:color w:val="000000"/>
              </w:rPr>
              <w:t xml:space="preserve"> or drums. It may or may not be containerized. It may be discharged by crane or by manual labor.</w:t>
            </w:r>
          </w:p>
          <w:p w:rsidR="00F96450" w:rsidRPr="0031630C" w:rsidRDefault="00F96450" w:rsidP="001A3F16">
            <w:pPr>
              <w:pStyle w:val="ListParagraph"/>
              <w:numPr>
                <w:ilvl w:val="0"/>
                <w:numId w:val="9"/>
              </w:numPr>
              <w:spacing w:after="0" w:line="252" w:lineRule="auto"/>
              <w:contextualSpacing w:val="0"/>
              <w:rPr>
                <w:rFonts w:ascii="Calibri" w:eastAsia="Times New Roman" w:hAnsi="Calibri" w:cs="Times New Roman"/>
                <w:color w:val="000000"/>
              </w:rPr>
            </w:pPr>
            <w:r w:rsidRPr="00695BA9">
              <w:rPr>
                <w:rFonts w:ascii="Calibri" w:eastAsia="Times New Roman" w:hAnsi="Calibri" w:cs="Times New Roman"/>
                <w:b/>
                <w:color w:val="000000"/>
              </w:rPr>
              <w:t>Bulk</w:t>
            </w:r>
            <w:r w:rsidRPr="0031630C">
              <w:rPr>
                <w:rFonts w:ascii="Calibri" w:eastAsia="Times New Roman" w:hAnsi="Calibri" w:cs="Times New Roman"/>
                <w:color w:val="000000"/>
              </w:rPr>
              <w:t xml:space="preserve"> cargo is not pre-packaged. </w:t>
            </w:r>
            <w:r w:rsidR="00695BA9">
              <w:rPr>
                <w:rFonts w:ascii="Calibri" w:eastAsia="Times New Roman" w:hAnsi="Calibri" w:cs="Times New Roman"/>
                <w:color w:val="000000"/>
              </w:rPr>
              <w:t>I</w:t>
            </w:r>
            <w:r w:rsidRPr="0031630C">
              <w:rPr>
                <w:rFonts w:ascii="Calibri" w:eastAsia="Times New Roman" w:hAnsi="Calibri" w:cs="Times New Roman"/>
                <w:color w:val="000000"/>
              </w:rPr>
              <w:t xml:space="preserve">t is either bagged </w:t>
            </w:r>
            <w:r w:rsidR="001A3F16">
              <w:rPr>
                <w:rFonts w:ascii="Calibri" w:eastAsia="Times New Roman" w:hAnsi="Calibri" w:cs="Times New Roman"/>
                <w:color w:val="000000"/>
              </w:rPr>
              <w:t>at dock</w:t>
            </w:r>
            <w:r w:rsidR="0031630C" w:rsidRPr="0031630C">
              <w:rPr>
                <w:rFonts w:ascii="Calibri" w:eastAsia="Times New Roman" w:hAnsi="Calibri" w:cs="Times New Roman"/>
                <w:color w:val="000000"/>
              </w:rPr>
              <w:t>side</w:t>
            </w:r>
            <w:r w:rsidRPr="0031630C">
              <w:rPr>
                <w:rFonts w:ascii="Calibri" w:eastAsia="Times New Roman" w:hAnsi="Calibri" w:cs="Times New Roman"/>
                <w:color w:val="000000"/>
              </w:rPr>
              <w:t xml:space="preserve"> or transferred by vacuum equipment from the hold to silo storage and bagged by machine on the dock. Empty bags may be shipped with the commodity or, with donor approval, purchased locally. </w:t>
            </w:r>
            <w:r w:rsidR="0031630C" w:rsidRPr="00695BA9">
              <w:rPr>
                <w:rFonts w:ascii="Calibri" w:eastAsia="Times New Roman" w:hAnsi="Calibri" w:cs="Times New Roman"/>
                <w:b/>
                <w:color w:val="000000"/>
              </w:rPr>
              <w:t>Verify a</w:t>
            </w:r>
            <w:r w:rsidRPr="00695BA9">
              <w:rPr>
                <w:rFonts w:ascii="Calibri" w:eastAsia="Times New Roman" w:hAnsi="Calibri" w:cs="Times New Roman"/>
                <w:b/>
                <w:color w:val="000000"/>
              </w:rPr>
              <w:t>vailability of bags and bagging facilities before placing an order for bulk commodity</w:t>
            </w:r>
            <w:r w:rsidRPr="0031630C">
              <w:rPr>
                <w:rFonts w:ascii="Calibri" w:eastAsia="Times New Roman" w:hAnsi="Calibri" w:cs="Times New Roman"/>
                <w:color w:val="000000"/>
              </w:rPr>
              <w:t>.</w:t>
            </w:r>
          </w:p>
        </w:tc>
      </w:tr>
      <w:tr w:rsidR="00106D14" w:rsidRPr="005E432F" w:rsidTr="000A6875">
        <w:tc>
          <w:tcPr>
            <w:tcW w:w="648" w:type="dxa"/>
          </w:tcPr>
          <w:p w:rsidR="00106D14" w:rsidRPr="00E66321" w:rsidRDefault="00106D14" w:rsidP="00E66321">
            <w:pPr>
              <w:spacing w:after="0"/>
              <w:rPr>
                <w:sz w:val="28"/>
                <w:szCs w:val="28"/>
              </w:rPr>
            </w:pPr>
            <w:r w:rsidRPr="00E66321">
              <w:rPr>
                <w:sz w:val="28"/>
                <w:szCs w:val="28"/>
              </w:rPr>
              <w:sym w:font="Webdings" w:char="F063"/>
            </w:r>
          </w:p>
        </w:tc>
        <w:tc>
          <w:tcPr>
            <w:tcW w:w="8595" w:type="dxa"/>
          </w:tcPr>
          <w:p w:rsidR="00106D14" w:rsidRPr="0031630C" w:rsidRDefault="001A3F16" w:rsidP="001A3F16">
            <w:pPr>
              <w:spacing w:after="0" w:line="252" w:lineRule="auto"/>
            </w:pPr>
            <w:r>
              <w:t>Verify commodity delivery date</w:t>
            </w:r>
            <w:r w:rsidR="00106D14" w:rsidRPr="0031630C">
              <w:t xml:space="preserve">–based on </w:t>
            </w:r>
            <w:r>
              <w:t xml:space="preserve">date </w:t>
            </w:r>
            <w:r w:rsidR="00106D14" w:rsidRPr="0031630C">
              <w:t xml:space="preserve">sales order </w:t>
            </w:r>
            <w:r>
              <w:t xml:space="preserve">was entered </w:t>
            </w:r>
            <w:r w:rsidR="00106D14" w:rsidRPr="0031630C">
              <w:t>into WBSCM</w:t>
            </w:r>
            <w:r>
              <w:t>–</w:t>
            </w:r>
            <w:r w:rsidR="00106D14" w:rsidRPr="0031630C">
              <w:t xml:space="preserve">on current </w:t>
            </w:r>
            <w:r w:rsidR="00106D14" w:rsidRPr="0031630C">
              <w:rPr>
                <w:b/>
              </w:rPr>
              <w:t>FFP Call Forward Schedule</w:t>
            </w:r>
            <w:r w:rsidR="00106D14" w:rsidRPr="0031630C">
              <w:t xml:space="preserve">, available at </w:t>
            </w:r>
            <w:hyperlink r:id="rId7" w:history="1">
              <w:r w:rsidR="00106D14" w:rsidRPr="00695BA9">
                <w:rPr>
                  <w:rStyle w:val="Hyperlink"/>
                  <w:color w:val="237990"/>
                </w:rPr>
                <w:t>http://www.usaid.gov/what-we-do/agriculture-and-food-security/food-assistance/resources/implementation-tools</w:t>
              </w:r>
            </w:hyperlink>
          </w:p>
        </w:tc>
      </w:tr>
      <w:tr w:rsidR="00106D14" w:rsidRPr="005E432F" w:rsidTr="000A6875">
        <w:tc>
          <w:tcPr>
            <w:tcW w:w="648" w:type="dxa"/>
          </w:tcPr>
          <w:p w:rsidR="00106D14" w:rsidRPr="00E66321" w:rsidRDefault="00106D14" w:rsidP="00E66321">
            <w:pPr>
              <w:spacing w:after="0"/>
              <w:rPr>
                <w:sz w:val="28"/>
                <w:szCs w:val="28"/>
              </w:rPr>
            </w:pPr>
            <w:r w:rsidRPr="00E66321">
              <w:rPr>
                <w:sz w:val="28"/>
                <w:szCs w:val="28"/>
              </w:rPr>
              <w:sym w:font="Webdings" w:char="F063"/>
            </w:r>
          </w:p>
        </w:tc>
        <w:tc>
          <w:tcPr>
            <w:tcW w:w="8595" w:type="dxa"/>
          </w:tcPr>
          <w:p w:rsidR="00106D14" w:rsidRPr="0031630C" w:rsidRDefault="00106D14" w:rsidP="001A3F16">
            <w:r w:rsidRPr="0031630C">
              <w:t>Verify disch</w:t>
            </w:r>
            <w:bookmarkStart w:id="0" w:name="_GoBack"/>
            <w:bookmarkEnd w:id="0"/>
            <w:r w:rsidRPr="0031630C">
              <w:t>arge port and final destination</w:t>
            </w:r>
            <w:r w:rsidR="001A3F16">
              <w:t>.</w:t>
            </w:r>
          </w:p>
        </w:tc>
      </w:tr>
      <w:tr w:rsidR="00106D14" w:rsidRPr="005E432F" w:rsidTr="000A6875">
        <w:tc>
          <w:tcPr>
            <w:tcW w:w="648" w:type="dxa"/>
          </w:tcPr>
          <w:p w:rsidR="00106D14" w:rsidRPr="00E66321" w:rsidRDefault="00106D14" w:rsidP="00E66321">
            <w:pPr>
              <w:spacing w:after="0"/>
              <w:rPr>
                <w:sz w:val="28"/>
                <w:szCs w:val="28"/>
              </w:rPr>
            </w:pPr>
            <w:r w:rsidRPr="00E66321">
              <w:rPr>
                <w:sz w:val="28"/>
                <w:szCs w:val="28"/>
              </w:rPr>
              <w:sym w:font="Webdings" w:char="F063"/>
            </w:r>
          </w:p>
        </w:tc>
        <w:tc>
          <w:tcPr>
            <w:tcW w:w="8595" w:type="dxa"/>
          </w:tcPr>
          <w:p w:rsidR="00106D14" w:rsidRPr="0031630C" w:rsidRDefault="00106D14" w:rsidP="0031630C">
            <w:pPr>
              <w:spacing w:after="0" w:line="252" w:lineRule="auto"/>
            </w:pPr>
            <w:r w:rsidRPr="0031630C">
              <w:t xml:space="preserve">Determine feasibility of </w:t>
            </w:r>
            <w:r w:rsidR="001A3F16">
              <w:t>t</w:t>
            </w:r>
            <w:r w:rsidRPr="0031630C">
              <w:t xml:space="preserve">hrough </w:t>
            </w:r>
            <w:r w:rsidR="001A3F16">
              <w:t>b</w:t>
            </w:r>
            <w:r w:rsidRPr="0031630C">
              <w:t xml:space="preserve">ill of </w:t>
            </w:r>
            <w:r w:rsidR="001A3F16">
              <w:t>l</w:t>
            </w:r>
            <w:r w:rsidRPr="0031630C">
              <w:t>ading</w:t>
            </w:r>
            <w:r w:rsidR="00695BA9">
              <w:t xml:space="preserve"> (TB/L)</w:t>
            </w:r>
            <w:r w:rsidR="001A3F16">
              <w:t>.</w:t>
            </w:r>
          </w:p>
          <w:p w:rsidR="005933F0" w:rsidRPr="0031630C" w:rsidRDefault="00EA3D73" w:rsidP="0031630C">
            <w:pPr>
              <w:numPr>
                <w:ilvl w:val="0"/>
                <w:numId w:val="7"/>
              </w:numPr>
              <w:spacing w:after="0" w:line="252" w:lineRule="auto"/>
              <w:ind w:left="360"/>
            </w:pPr>
            <w:r w:rsidRPr="0031630C">
              <w:t xml:space="preserve">The shipping company retains custody of the cargo until it arrives at the final destination specified on the TB/L. It therefore assumes responsibility for port operations, inland transportation, and all losses up to the final destination.  </w:t>
            </w:r>
          </w:p>
          <w:p w:rsidR="005933F0" w:rsidRPr="0031630C" w:rsidRDefault="005933F0" w:rsidP="0031630C">
            <w:pPr>
              <w:numPr>
                <w:ilvl w:val="0"/>
                <w:numId w:val="7"/>
              </w:numPr>
              <w:spacing w:after="0" w:line="252" w:lineRule="auto"/>
              <w:ind w:left="360"/>
            </w:pPr>
            <w:r w:rsidRPr="0031630C">
              <w:t xml:space="preserve">A TB/L is often the best alternative in landlocked countries, countries that have experienced very high losses of commodity in port, or </w:t>
            </w:r>
            <w:r w:rsidR="001A3F16">
              <w:t xml:space="preserve">instances </w:t>
            </w:r>
            <w:r w:rsidRPr="0031630C">
              <w:t>when commodity is transshipped (discharged at a main port and then loaded onto local ships for delivery to other coastal or inland ports).</w:t>
            </w:r>
          </w:p>
          <w:p w:rsidR="005933F0" w:rsidRPr="0031630C" w:rsidRDefault="005933F0" w:rsidP="0031630C">
            <w:pPr>
              <w:numPr>
                <w:ilvl w:val="0"/>
                <w:numId w:val="7"/>
              </w:numPr>
              <w:spacing w:after="0" w:line="252" w:lineRule="auto"/>
              <w:ind w:left="360"/>
            </w:pPr>
            <w:r w:rsidRPr="0031630C">
              <w:t>A TB/L increases the cost to the donor, but this may be offset by decreased port losses or increased ease of loss claims collection from shipping companies.</w:t>
            </w:r>
          </w:p>
          <w:p w:rsidR="005933F0" w:rsidRPr="0031630C" w:rsidRDefault="0031630C" w:rsidP="0031630C">
            <w:pPr>
              <w:numPr>
                <w:ilvl w:val="0"/>
                <w:numId w:val="7"/>
              </w:numPr>
              <w:spacing w:after="0" w:line="252" w:lineRule="auto"/>
              <w:ind w:left="360"/>
            </w:pPr>
            <w:r>
              <w:t xml:space="preserve">Verify </w:t>
            </w:r>
            <w:r w:rsidR="001A3F16">
              <w:t>whether</w:t>
            </w:r>
            <w:r>
              <w:t xml:space="preserve"> </w:t>
            </w:r>
            <w:r w:rsidR="005933F0" w:rsidRPr="0031630C">
              <w:t xml:space="preserve">local government permission </w:t>
            </w:r>
            <w:r>
              <w:t xml:space="preserve">is required </w:t>
            </w:r>
            <w:r w:rsidR="005933F0" w:rsidRPr="0031630C">
              <w:t xml:space="preserve">to use a TB/L. </w:t>
            </w:r>
          </w:p>
          <w:p w:rsidR="005933F0" w:rsidRPr="0031630C" w:rsidRDefault="005933F0" w:rsidP="0031630C">
            <w:pPr>
              <w:numPr>
                <w:ilvl w:val="0"/>
                <w:numId w:val="7"/>
              </w:numPr>
              <w:spacing w:after="0" w:line="252" w:lineRule="auto"/>
              <w:ind w:left="360"/>
            </w:pPr>
            <w:r w:rsidRPr="0031630C">
              <w:t>For containerized cargo, customs officials may break container seals at the port to examine contents for drugs, weapons</w:t>
            </w:r>
            <w:r w:rsidR="001A3F16">
              <w:t>, or other contraband.</w:t>
            </w:r>
            <w:r w:rsidRPr="0031630C">
              <w:t xml:space="preserve"> If so, </w:t>
            </w:r>
            <w:r w:rsidR="001A3F16">
              <w:t>the</w:t>
            </w:r>
            <w:r w:rsidRPr="0031630C">
              <w:t xml:space="preserve"> seal is replaced</w:t>
            </w:r>
            <w:r w:rsidR="001A3F16">
              <w:t>,</w:t>
            </w:r>
            <w:r w:rsidRPr="0031630C">
              <w:t xml:space="preserve"> and the details for the new seal are </w:t>
            </w:r>
            <w:r w:rsidR="001A3F16">
              <w:t>recorded</w:t>
            </w:r>
            <w:r w:rsidRPr="0031630C">
              <w:t xml:space="preserve"> on the clearance documentation.</w:t>
            </w:r>
          </w:p>
          <w:p w:rsidR="00A80FF8" w:rsidRPr="0031630C" w:rsidRDefault="005933F0" w:rsidP="001A3F16">
            <w:pPr>
              <w:numPr>
                <w:ilvl w:val="0"/>
                <w:numId w:val="7"/>
              </w:numPr>
              <w:spacing w:after="0" w:line="252" w:lineRule="auto"/>
              <w:ind w:left="360"/>
            </w:pPr>
            <w:r w:rsidRPr="0031630C">
              <w:t xml:space="preserve">Awardee has limited control over the speed of cargo delivery to final destination when a TB/L is used. If possible, ensure agreements with shipping companies include clauses for payment only upon delivery. Review discharge </w:t>
            </w:r>
            <w:r w:rsidR="001A3F16">
              <w:t>and</w:t>
            </w:r>
            <w:r w:rsidRPr="0031630C">
              <w:t xml:space="preserve"> dispatch with FF </w:t>
            </w:r>
            <w:r w:rsidR="001A3F16">
              <w:t>and</w:t>
            </w:r>
            <w:r w:rsidRPr="0031630C">
              <w:t xml:space="preserve"> C&amp;F agent.</w:t>
            </w:r>
          </w:p>
        </w:tc>
      </w:tr>
      <w:tr w:rsidR="00106D14" w:rsidRPr="005E432F" w:rsidTr="000A6875">
        <w:tc>
          <w:tcPr>
            <w:tcW w:w="648" w:type="dxa"/>
          </w:tcPr>
          <w:p w:rsidR="00106D14" w:rsidRPr="00E66321" w:rsidRDefault="00106D14" w:rsidP="00E66321">
            <w:pPr>
              <w:spacing w:after="0"/>
              <w:rPr>
                <w:sz w:val="28"/>
                <w:szCs w:val="28"/>
              </w:rPr>
            </w:pPr>
            <w:r w:rsidRPr="00E66321">
              <w:rPr>
                <w:sz w:val="28"/>
                <w:szCs w:val="28"/>
              </w:rPr>
              <w:sym w:font="Webdings" w:char="F063"/>
            </w:r>
          </w:p>
        </w:tc>
        <w:tc>
          <w:tcPr>
            <w:tcW w:w="8595" w:type="dxa"/>
          </w:tcPr>
          <w:p w:rsidR="00106D14" w:rsidRPr="0031630C" w:rsidRDefault="00106D14" w:rsidP="0031630C">
            <w:pPr>
              <w:spacing w:after="0" w:line="252" w:lineRule="auto"/>
            </w:pPr>
            <w:r w:rsidRPr="0031630C">
              <w:t xml:space="preserve">Determine </w:t>
            </w:r>
            <w:r w:rsidR="002E1FB6" w:rsidRPr="0031630C">
              <w:t>certification (origin, fumigation,</w:t>
            </w:r>
            <w:r w:rsidRPr="0031630C">
              <w:t xml:space="preserve"> phytosanitary</w:t>
            </w:r>
            <w:r w:rsidR="002E1FB6" w:rsidRPr="0031630C">
              <w:t>)</w:t>
            </w:r>
            <w:r w:rsidRPr="0031630C">
              <w:t xml:space="preserve"> and import requirements for host and (if applicable) transit countries</w:t>
            </w:r>
            <w:r w:rsidR="001A3F16">
              <w:t>.</w:t>
            </w:r>
          </w:p>
        </w:tc>
      </w:tr>
      <w:tr w:rsidR="00106D14" w:rsidRPr="005E432F" w:rsidTr="000A6875">
        <w:tc>
          <w:tcPr>
            <w:tcW w:w="648" w:type="dxa"/>
          </w:tcPr>
          <w:p w:rsidR="00106D14" w:rsidRPr="00E66321" w:rsidRDefault="00106D14" w:rsidP="001A3F16">
            <w:pPr>
              <w:rPr>
                <w:sz w:val="28"/>
                <w:szCs w:val="28"/>
              </w:rPr>
            </w:pPr>
            <w:r w:rsidRPr="00E66321">
              <w:rPr>
                <w:sz w:val="28"/>
                <w:szCs w:val="28"/>
              </w:rPr>
              <w:sym w:font="Webdings" w:char="F063"/>
            </w:r>
          </w:p>
        </w:tc>
        <w:tc>
          <w:tcPr>
            <w:tcW w:w="8595" w:type="dxa"/>
          </w:tcPr>
          <w:p w:rsidR="00106D14" w:rsidRPr="0031630C" w:rsidRDefault="00106D14" w:rsidP="0031630C">
            <w:pPr>
              <w:spacing w:after="0" w:line="252" w:lineRule="auto"/>
              <w:rPr>
                <w:rFonts w:ascii="Calibri" w:eastAsia="Times New Roman" w:hAnsi="Calibri" w:cs="Times New Roman"/>
                <w:color w:val="000000"/>
              </w:rPr>
            </w:pPr>
            <w:r w:rsidRPr="0031630C">
              <w:rPr>
                <w:rFonts w:ascii="Calibri" w:eastAsia="Times New Roman" w:hAnsi="Calibri" w:cs="Times New Roman"/>
                <w:color w:val="000000"/>
              </w:rPr>
              <w:t xml:space="preserve">Ensure login and password </w:t>
            </w:r>
            <w:r w:rsidR="00FB0B11" w:rsidRPr="0031630C">
              <w:rPr>
                <w:rFonts w:ascii="Calibri" w:eastAsia="Times New Roman" w:hAnsi="Calibri" w:cs="Times New Roman"/>
                <w:color w:val="000000"/>
              </w:rPr>
              <w:t>credentials are valid for WBSCM</w:t>
            </w:r>
            <w:r w:rsidR="001A3F16">
              <w:rPr>
                <w:rFonts w:ascii="Calibri" w:eastAsia="Times New Roman" w:hAnsi="Calibri" w:cs="Times New Roman"/>
                <w:color w:val="000000"/>
              </w:rPr>
              <w:t>.</w:t>
            </w:r>
          </w:p>
        </w:tc>
      </w:tr>
      <w:tr w:rsidR="00106D14" w:rsidRPr="005E432F" w:rsidTr="000A6875">
        <w:tc>
          <w:tcPr>
            <w:tcW w:w="648" w:type="dxa"/>
          </w:tcPr>
          <w:p w:rsidR="00106D14" w:rsidRPr="00E66321" w:rsidRDefault="00106D14" w:rsidP="00E66321">
            <w:pPr>
              <w:spacing w:after="0"/>
              <w:rPr>
                <w:sz w:val="28"/>
                <w:szCs w:val="28"/>
              </w:rPr>
            </w:pPr>
            <w:r w:rsidRPr="00E66321">
              <w:rPr>
                <w:sz w:val="28"/>
                <w:szCs w:val="28"/>
              </w:rPr>
              <w:sym w:font="Webdings" w:char="F063"/>
            </w:r>
          </w:p>
        </w:tc>
        <w:tc>
          <w:tcPr>
            <w:tcW w:w="8595" w:type="dxa"/>
          </w:tcPr>
          <w:p w:rsidR="00106D14" w:rsidRPr="0031630C" w:rsidRDefault="00106D14" w:rsidP="001A3F16">
            <w:pPr>
              <w:spacing w:after="0" w:line="252" w:lineRule="auto"/>
            </w:pPr>
            <w:r w:rsidRPr="0031630C">
              <w:t>Split orders if necessary to avoid problems with WBSCM that occur with multiple items or large quantity bulk orders</w:t>
            </w:r>
            <w:r w:rsidR="001A3F16">
              <w:t>.</w:t>
            </w:r>
          </w:p>
        </w:tc>
      </w:tr>
    </w:tbl>
    <w:p w:rsidR="00F96450" w:rsidRPr="00F96450" w:rsidRDefault="001A3F16" w:rsidP="005933F0">
      <w:pPr>
        <w:rPr>
          <w:rFonts w:ascii="Calibri" w:eastAsia="Times New Roman" w:hAnsi="Calibri" w:cs="Times New Roman"/>
          <w:color w:val="000000"/>
          <w:sz w:val="18"/>
          <w:szCs w:val="18"/>
        </w:rPr>
      </w:pPr>
      <w:r>
        <w:rPr>
          <w:noProof/>
        </w:rPr>
        <w:pict>
          <v:roundrect id="_x0000_s1026" style="position:absolute;margin-left:4in;margin-top:-680.8pt;width:171.75pt;height:45pt;z-index:251658240;mso-position-horizontal-relative:text;mso-position-vertical-relative:text" arcsize="10923f" strokecolor="#7b7f28">
            <v:textbox>
              <w:txbxContent>
                <w:p w:rsidR="001E6FFA" w:rsidRPr="001E6FFA" w:rsidRDefault="001E6FFA" w:rsidP="001E6FFA">
                  <w:pPr>
                    <w:spacing w:before="0" w:after="0"/>
                    <w:rPr>
                      <w:sz w:val="18"/>
                      <w:szCs w:val="18"/>
                    </w:rPr>
                  </w:pPr>
                  <w:r w:rsidRPr="001E6FFA">
                    <w:rPr>
                      <w:sz w:val="18"/>
                      <w:szCs w:val="18"/>
                    </w:rPr>
                    <w:t xml:space="preserve">If warehouse space available, order commodities during periods of low price, such as immediately </w:t>
                  </w:r>
                  <w:r>
                    <w:rPr>
                      <w:sz w:val="18"/>
                      <w:szCs w:val="18"/>
                    </w:rPr>
                    <w:t>after</w:t>
                  </w:r>
                  <w:r w:rsidRPr="001E6FFA">
                    <w:rPr>
                      <w:sz w:val="18"/>
                      <w:szCs w:val="18"/>
                    </w:rPr>
                    <w:t xml:space="preserve"> harvest.</w:t>
                  </w:r>
                </w:p>
              </w:txbxContent>
            </v:textbox>
          </v:roundrect>
        </w:pict>
      </w:r>
    </w:p>
    <w:sectPr w:rsidR="00F96450" w:rsidRPr="00F96450" w:rsidSect="007F26FC">
      <w:headerReference w:type="default" r:id="rId8"/>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AEE" w:rsidRDefault="00E86AEE" w:rsidP="007F26FC">
      <w:pPr>
        <w:spacing w:before="0" w:after="0"/>
      </w:pPr>
      <w:r>
        <w:separator/>
      </w:r>
    </w:p>
  </w:endnote>
  <w:endnote w:type="continuationSeparator" w:id="0">
    <w:p w:rsidR="00E86AEE" w:rsidRDefault="00E86AEE" w:rsidP="007F26F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937427"/>
      <w:docPartObj>
        <w:docPartGallery w:val="Page Numbers (Bottom of Page)"/>
        <w:docPartUnique/>
      </w:docPartObj>
    </w:sdtPr>
    <w:sdtEndPr/>
    <w:sdtContent>
      <w:sdt>
        <w:sdtPr>
          <w:id w:val="565050477"/>
          <w:docPartObj>
            <w:docPartGallery w:val="Page Numbers (Top of Page)"/>
            <w:docPartUnique/>
          </w:docPartObj>
        </w:sdtPr>
        <w:sdtEndPr/>
        <w:sdtContent>
          <w:p w:rsidR="007F26FC" w:rsidRPr="00175109" w:rsidRDefault="007F26FC">
            <w:pPr>
              <w:pStyle w:val="Footer"/>
              <w:jc w:val="center"/>
            </w:pPr>
            <w:r w:rsidRPr="00175109">
              <w:t xml:space="preserve">Page </w:t>
            </w:r>
            <w:r w:rsidR="00EA09DC" w:rsidRPr="00175109">
              <w:fldChar w:fldCharType="begin"/>
            </w:r>
            <w:r w:rsidRPr="00175109">
              <w:instrText xml:space="preserve"> PAGE </w:instrText>
            </w:r>
            <w:r w:rsidR="00EA09DC" w:rsidRPr="00175109">
              <w:fldChar w:fldCharType="separate"/>
            </w:r>
            <w:r w:rsidR="001A3F16">
              <w:rPr>
                <w:noProof/>
              </w:rPr>
              <w:t>1</w:t>
            </w:r>
            <w:r w:rsidR="00EA09DC" w:rsidRPr="00175109">
              <w:fldChar w:fldCharType="end"/>
            </w:r>
            <w:r w:rsidRPr="00175109">
              <w:t xml:space="preserve"> of </w:t>
            </w:r>
            <w:r w:rsidR="00EA09DC" w:rsidRPr="00175109">
              <w:fldChar w:fldCharType="begin"/>
            </w:r>
            <w:r w:rsidRPr="00175109">
              <w:instrText xml:space="preserve"> NUMPAGES  </w:instrText>
            </w:r>
            <w:r w:rsidR="00EA09DC" w:rsidRPr="00175109">
              <w:fldChar w:fldCharType="separate"/>
            </w:r>
            <w:r w:rsidR="001A3F16">
              <w:rPr>
                <w:noProof/>
              </w:rPr>
              <w:t>1</w:t>
            </w:r>
            <w:r w:rsidR="00EA09DC" w:rsidRPr="00175109">
              <w:fldChar w:fldCharType="end"/>
            </w:r>
          </w:p>
        </w:sdtContent>
      </w:sdt>
    </w:sdtContent>
  </w:sdt>
  <w:p w:rsidR="007F26FC" w:rsidRDefault="007F26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AEE" w:rsidRDefault="00E86AEE" w:rsidP="007F26FC">
      <w:pPr>
        <w:spacing w:before="0" w:after="0"/>
      </w:pPr>
      <w:r>
        <w:separator/>
      </w:r>
    </w:p>
  </w:footnote>
  <w:footnote w:type="continuationSeparator" w:id="0">
    <w:p w:rsidR="00E86AEE" w:rsidRDefault="00E86AEE" w:rsidP="007F26F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6FC" w:rsidRPr="007F26FC" w:rsidRDefault="00E87E05" w:rsidP="007F26FC">
    <w:pPr>
      <w:pStyle w:val="Header"/>
      <w:jc w:val="center"/>
      <w:rPr>
        <w:b/>
        <w:sz w:val="28"/>
        <w:szCs w:val="28"/>
      </w:rPr>
    </w:pPr>
    <w:r w:rsidRPr="00175109">
      <w:rPr>
        <w:b/>
        <w:color w:val="237990"/>
        <w:sz w:val="28"/>
        <w:szCs w:val="28"/>
      </w:rPr>
      <w:t xml:space="preserve">Sales Order Preparation </w:t>
    </w:r>
    <w:r w:rsidR="007F26FC" w:rsidRPr="00175109">
      <w:rPr>
        <w:b/>
        <w:color w:val="237990"/>
        <w:sz w:val="28"/>
        <w:szCs w:val="28"/>
      </w:rPr>
      <w:t>C</w:t>
    </w:r>
    <w:r w:rsidRPr="00175109">
      <w:rPr>
        <w:b/>
        <w:color w:val="237990"/>
        <w:sz w:val="28"/>
        <w:szCs w:val="28"/>
      </w:rPr>
      <w:t>HECKLIST</w:t>
    </w:r>
  </w:p>
  <w:p w:rsidR="007F26FC" w:rsidRDefault="007F26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E1015"/>
    <w:multiLevelType w:val="hybridMultilevel"/>
    <w:tmpl w:val="69AA1BBE"/>
    <w:lvl w:ilvl="0" w:tplc="08F4B996">
      <w:start w:val="1"/>
      <w:numFmt w:val="bullet"/>
      <w:lvlText w:val="•"/>
      <w:lvlJc w:val="left"/>
      <w:pPr>
        <w:tabs>
          <w:tab w:val="num" w:pos="1008"/>
        </w:tabs>
        <w:ind w:left="1008" w:hanging="288"/>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D6020"/>
    <w:multiLevelType w:val="hybridMultilevel"/>
    <w:tmpl w:val="ECC25B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464E18"/>
    <w:multiLevelType w:val="hybridMultilevel"/>
    <w:tmpl w:val="75FA6DE0"/>
    <w:lvl w:ilvl="0" w:tplc="08F4B996">
      <w:start w:val="1"/>
      <w:numFmt w:val="bullet"/>
      <w:lvlText w:val="•"/>
      <w:lvlJc w:val="left"/>
      <w:pPr>
        <w:ind w:left="360" w:hanging="360"/>
      </w:pPr>
      <w:rPr>
        <w:rFonts w:ascii="Times New Roman" w:hAnsi="Times New Roman"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3710BD"/>
    <w:multiLevelType w:val="hybridMultilevel"/>
    <w:tmpl w:val="970C4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5B4622"/>
    <w:multiLevelType w:val="hybridMultilevel"/>
    <w:tmpl w:val="B9767A1C"/>
    <w:lvl w:ilvl="0" w:tplc="08F4B996">
      <w:start w:val="1"/>
      <w:numFmt w:val="bullet"/>
      <w:lvlText w:val="•"/>
      <w:lvlJc w:val="left"/>
      <w:pPr>
        <w:tabs>
          <w:tab w:val="num" w:pos="1008"/>
        </w:tabs>
        <w:ind w:left="1008" w:hanging="288"/>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4D5A84"/>
    <w:multiLevelType w:val="hybridMultilevel"/>
    <w:tmpl w:val="8E56F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880C9B"/>
    <w:multiLevelType w:val="hybridMultilevel"/>
    <w:tmpl w:val="76146CA6"/>
    <w:lvl w:ilvl="0" w:tplc="F7066DA6">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2565504"/>
    <w:multiLevelType w:val="hybridMultilevel"/>
    <w:tmpl w:val="9C086940"/>
    <w:lvl w:ilvl="0" w:tplc="01BA8338">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A14A73"/>
    <w:multiLevelType w:val="hybridMultilevel"/>
    <w:tmpl w:val="D8C6B752"/>
    <w:lvl w:ilvl="0" w:tplc="08F4B996">
      <w:start w:val="1"/>
      <w:numFmt w:val="bullet"/>
      <w:lvlText w:val="•"/>
      <w:lvlJc w:val="left"/>
      <w:pPr>
        <w:tabs>
          <w:tab w:val="num" w:pos="1008"/>
        </w:tabs>
        <w:ind w:left="1008" w:hanging="288"/>
      </w:pPr>
      <w:rPr>
        <w:rFonts w:ascii="Times New Roman" w:hAnsi="Times New Roman" w:cs="Times New Roman"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5"/>
  </w:num>
  <w:num w:numId="3">
    <w:abstractNumId w:val="3"/>
  </w:num>
  <w:num w:numId="4">
    <w:abstractNumId w:val="8"/>
  </w:num>
  <w:num w:numId="5">
    <w:abstractNumId w:val="4"/>
  </w:num>
  <w:num w:numId="6">
    <w:abstractNumId w:val="0"/>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B5528"/>
    <w:rsid w:val="00026341"/>
    <w:rsid w:val="00064FF7"/>
    <w:rsid w:val="000A6875"/>
    <w:rsid w:val="000B75D5"/>
    <w:rsid w:val="000E600E"/>
    <w:rsid w:val="000F55D3"/>
    <w:rsid w:val="00104CD1"/>
    <w:rsid w:val="00106D14"/>
    <w:rsid w:val="00165D64"/>
    <w:rsid w:val="00175109"/>
    <w:rsid w:val="001A3F16"/>
    <w:rsid w:val="001B5528"/>
    <w:rsid w:val="001E2A9E"/>
    <w:rsid w:val="001E6FFA"/>
    <w:rsid w:val="00217904"/>
    <w:rsid w:val="002243F3"/>
    <w:rsid w:val="002305AD"/>
    <w:rsid w:val="00230F56"/>
    <w:rsid w:val="002816CF"/>
    <w:rsid w:val="00285C54"/>
    <w:rsid w:val="002B05B5"/>
    <w:rsid w:val="002E0D1A"/>
    <w:rsid w:val="002E1FB6"/>
    <w:rsid w:val="0031630C"/>
    <w:rsid w:val="00330FED"/>
    <w:rsid w:val="00332078"/>
    <w:rsid w:val="00341B54"/>
    <w:rsid w:val="00371343"/>
    <w:rsid w:val="00386ED5"/>
    <w:rsid w:val="00404A18"/>
    <w:rsid w:val="00407BBC"/>
    <w:rsid w:val="004752A5"/>
    <w:rsid w:val="004E103B"/>
    <w:rsid w:val="004E2773"/>
    <w:rsid w:val="00561267"/>
    <w:rsid w:val="005640A8"/>
    <w:rsid w:val="00577019"/>
    <w:rsid w:val="005933F0"/>
    <w:rsid w:val="005A1C7D"/>
    <w:rsid w:val="005B721B"/>
    <w:rsid w:val="006018A3"/>
    <w:rsid w:val="00603EB8"/>
    <w:rsid w:val="00695BA9"/>
    <w:rsid w:val="006F1A6B"/>
    <w:rsid w:val="00716193"/>
    <w:rsid w:val="0076369C"/>
    <w:rsid w:val="00783BFB"/>
    <w:rsid w:val="007950F5"/>
    <w:rsid w:val="007C583B"/>
    <w:rsid w:val="007F26FC"/>
    <w:rsid w:val="00801CF6"/>
    <w:rsid w:val="008122B2"/>
    <w:rsid w:val="00856BBE"/>
    <w:rsid w:val="008D0452"/>
    <w:rsid w:val="00936ACA"/>
    <w:rsid w:val="009573B4"/>
    <w:rsid w:val="0095775F"/>
    <w:rsid w:val="0098237A"/>
    <w:rsid w:val="009D393B"/>
    <w:rsid w:val="00A16626"/>
    <w:rsid w:val="00A61817"/>
    <w:rsid w:val="00A80FF8"/>
    <w:rsid w:val="00A86FCB"/>
    <w:rsid w:val="00B852FF"/>
    <w:rsid w:val="00C51277"/>
    <w:rsid w:val="00CA502F"/>
    <w:rsid w:val="00CC693D"/>
    <w:rsid w:val="00D0139C"/>
    <w:rsid w:val="00D01C24"/>
    <w:rsid w:val="00D27CF8"/>
    <w:rsid w:val="00D943FD"/>
    <w:rsid w:val="00E34AD2"/>
    <w:rsid w:val="00E66321"/>
    <w:rsid w:val="00E8464D"/>
    <w:rsid w:val="00E86AEE"/>
    <w:rsid w:val="00E87E05"/>
    <w:rsid w:val="00EA09DC"/>
    <w:rsid w:val="00EA3D73"/>
    <w:rsid w:val="00F96450"/>
    <w:rsid w:val="00FB0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C098A"/>
  <w15:docId w15:val="{12A02818-0728-40B3-8494-9895337AE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D64"/>
    <w:pPr>
      <w:spacing w:before="120"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5B721B"/>
  </w:style>
  <w:style w:type="character" w:customStyle="1" w:styleId="Style1Char">
    <w:name w:val="Style1 Char"/>
    <w:basedOn w:val="DefaultParagraphFont"/>
    <w:link w:val="Style1"/>
    <w:rsid w:val="005B721B"/>
  </w:style>
  <w:style w:type="paragraph" w:customStyle="1" w:styleId="Style10">
    <w:name w:val="Style 1"/>
    <w:basedOn w:val="Normal"/>
    <w:qFormat/>
    <w:rsid w:val="00341B54"/>
    <w:rPr>
      <w:rFonts w:ascii="Calibri" w:eastAsia="Calibri" w:hAnsi="Calibri" w:cs="Times New Roman"/>
    </w:rPr>
  </w:style>
  <w:style w:type="character" w:styleId="Hyperlink">
    <w:name w:val="Hyperlink"/>
    <w:basedOn w:val="DefaultParagraphFont"/>
    <w:uiPriority w:val="99"/>
    <w:unhideWhenUsed/>
    <w:rsid w:val="004E2773"/>
    <w:rPr>
      <w:color w:val="0000FF" w:themeColor="hyperlink"/>
      <w:u w:val="single"/>
    </w:rPr>
  </w:style>
  <w:style w:type="paragraph" w:styleId="BalloonText">
    <w:name w:val="Balloon Text"/>
    <w:basedOn w:val="Normal"/>
    <w:link w:val="BalloonTextChar"/>
    <w:uiPriority w:val="99"/>
    <w:semiHidden/>
    <w:unhideWhenUsed/>
    <w:rsid w:val="00603EB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EB8"/>
    <w:rPr>
      <w:rFonts w:ascii="Tahoma" w:hAnsi="Tahoma" w:cs="Tahoma"/>
      <w:sz w:val="16"/>
      <w:szCs w:val="16"/>
    </w:rPr>
  </w:style>
  <w:style w:type="character" w:styleId="FollowedHyperlink">
    <w:name w:val="FollowedHyperlink"/>
    <w:basedOn w:val="DefaultParagraphFont"/>
    <w:uiPriority w:val="99"/>
    <w:semiHidden/>
    <w:unhideWhenUsed/>
    <w:rsid w:val="002816CF"/>
    <w:rPr>
      <w:color w:val="800080" w:themeColor="followedHyperlink"/>
      <w:u w:val="single"/>
    </w:rPr>
  </w:style>
  <w:style w:type="paragraph" w:styleId="Header">
    <w:name w:val="header"/>
    <w:basedOn w:val="Normal"/>
    <w:link w:val="HeaderChar"/>
    <w:uiPriority w:val="99"/>
    <w:unhideWhenUsed/>
    <w:rsid w:val="007F26FC"/>
    <w:pPr>
      <w:tabs>
        <w:tab w:val="center" w:pos="4680"/>
        <w:tab w:val="right" w:pos="9360"/>
      </w:tabs>
      <w:spacing w:before="0" w:after="0"/>
    </w:pPr>
  </w:style>
  <w:style w:type="character" w:customStyle="1" w:styleId="HeaderChar">
    <w:name w:val="Header Char"/>
    <w:basedOn w:val="DefaultParagraphFont"/>
    <w:link w:val="Header"/>
    <w:uiPriority w:val="99"/>
    <w:rsid w:val="007F26FC"/>
  </w:style>
  <w:style w:type="paragraph" w:styleId="Footer">
    <w:name w:val="footer"/>
    <w:basedOn w:val="Normal"/>
    <w:link w:val="FooterChar"/>
    <w:uiPriority w:val="99"/>
    <w:unhideWhenUsed/>
    <w:rsid w:val="007F26FC"/>
    <w:pPr>
      <w:tabs>
        <w:tab w:val="center" w:pos="4680"/>
        <w:tab w:val="right" w:pos="9360"/>
      </w:tabs>
      <w:spacing w:before="0" w:after="0"/>
    </w:pPr>
  </w:style>
  <w:style w:type="character" w:customStyle="1" w:styleId="FooterChar">
    <w:name w:val="Footer Char"/>
    <w:basedOn w:val="DefaultParagraphFont"/>
    <w:link w:val="Footer"/>
    <w:uiPriority w:val="99"/>
    <w:rsid w:val="007F26FC"/>
  </w:style>
  <w:style w:type="table" w:styleId="TableGrid">
    <w:name w:val="Table Grid"/>
    <w:basedOn w:val="TableNormal"/>
    <w:uiPriority w:val="59"/>
    <w:rsid w:val="0033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3B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said.gov/what-we-do/agriculture-and-food-security/food-assistance/resources/implementation-too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 Vaughn Inc</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Vaughn Inc</dc:creator>
  <cp:lastModifiedBy>Vaughn, Virginia</cp:lastModifiedBy>
  <cp:revision>2</cp:revision>
  <cp:lastPrinted>2016-06-13T14:17:00Z</cp:lastPrinted>
  <dcterms:created xsi:type="dcterms:W3CDTF">2017-03-14T15:25:00Z</dcterms:created>
  <dcterms:modified xsi:type="dcterms:W3CDTF">2017-03-14T15:25:00Z</dcterms:modified>
</cp:coreProperties>
</file>