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DD" w:rsidRPr="00AD01B8" w:rsidRDefault="00FA3ADD" w:rsidP="00AD01B8">
      <w:pPr>
        <w:spacing w:after="200" w:line="252" w:lineRule="auto"/>
        <w:rPr>
          <w:rFonts w:ascii="Calibri" w:hAnsi="Calibri" w:cs="Arial"/>
          <w:sz w:val="22"/>
          <w:szCs w:val="22"/>
        </w:rPr>
      </w:pPr>
      <w:r w:rsidRPr="00AD01B8">
        <w:rPr>
          <w:rFonts w:ascii="Calibri" w:hAnsi="Calibri" w:cs="Arial"/>
          <w:sz w:val="22"/>
          <w:szCs w:val="22"/>
        </w:rPr>
        <w:t xml:space="preserve">The </w:t>
      </w:r>
      <w:r w:rsidR="00AD01B8" w:rsidRPr="00AD01B8">
        <w:rPr>
          <w:rFonts w:ascii="Calibri" w:hAnsi="Calibri" w:cs="Arial"/>
          <w:sz w:val="22"/>
          <w:szCs w:val="22"/>
        </w:rPr>
        <w:t>clearing and forwarding (</w:t>
      </w:r>
      <w:r w:rsidRPr="00AD01B8">
        <w:rPr>
          <w:rFonts w:ascii="Calibri" w:hAnsi="Calibri" w:cs="Arial"/>
          <w:sz w:val="22"/>
          <w:szCs w:val="22"/>
        </w:rPr>
        <w:t>C&amp;F</w:t>
      </w:r>
      <w:r w:rsidR="00AD01B8" w:rsidRPr="00AD01B8">
        <w:rPr>
          <w:rFonts w:ascii="Calibri" w:hAnsi="Calibri" w:cs="Arial"/>
          <w:sz w:val="22"/>
          <w:szCs w:val="22"/>
        </w:rPr>
        <w:t>)</w:t>
      </w:r>
      <w:r w:rsidRPr="00AD01B8">
        <w:rPr>
          <w:rFonts w:ascii="Calibri" w:hAnsi="Calibri" w:cs="Arial"/>
          <w:sz w:val="22"/>
          <w:szCs w:val="22"/>
        </w:rPr>
        <w:t xml:space="preserve"> agent is a </w:t>
      </w:r>
      <w:r w:rsidR="00D11888" w:rsidRPr="00AD01B8">
        <w:rPr>
          <w:rFonts w:ascii="Calibri" w:hAnsi="Calibri" w:cs="Arial"/>
          <w:sz w:val="22"/>
          <w:szCs w:val="22"/>
        </w:rPr>
        <w:t>third party who facilitates the receipt, c</w:t>
      </w:r>
      <w:r w:rsidRPr="00AD01B8">
        <w:rPr>
          <w:rFonts w:ascii="Calibri" w:hAnsi="Calibri" w:cs="Arial"/>
          <w:sz w:val="22"/>
          <w:szCs w:val="22"/>
        </w:rPr>
        <w:t>ustoms clearance</w:t>
      </w:r>
      <w:r w:rsidR="008A16CE">
        <w:rPr>
          <w:rFonts w:ascii="Calibri" w:hAnsi="Calibri" w:cs="Arial"/>
          <w:sz w:val="22"/>
          <w:szCs w:val="22"/>
        </w:rPr>
        <w:t>,</w:t>
      </w:r>
      <w:r w:rsidRPr="00AD01B8">
        <w:rPr>
          <w:rFonts w:ascii="Calibri" w:hAnsi="Calibri" w:cs="Arial"/>
          <w:sz w:val="22"/>
          <w:szCs w:val="22"/>
        </w:rPr>
        <w:t xml:space="preserve"> and forwarding </w:t>
      </w:r>
      <w:r w:rsidR="00D11888" w:rsidRPr="00AD01B8">
        <w:rPr>
          <w:rFonts w:ascii="Calibri" w:hAnsi="Calibri" w:cs="Arial"/>
          <w:sz w:val="22"/>
          <w:szCs w:val="22"/>
        </w:rPr>
        <w:t>of international consignments to the Awardee at designated destinations.</w:t>
      </w:r>
      <w:r w:rsidR="00AD01B8" w:rsidRPr="00AD01B8">
        <w:rPr>
          <w:rFonts w:ascii="Calibri" w:hAnsi="Calibri" w:cs="Arial"/>
          <w:sz w:val="22"/>
          <w:szCs w:val="22"/>
        </w:rPr>
        <w:t xml:space="preserve">  This checklist provides the minimum information required to prepare tender documents for contracting C&amp;F agent services.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FC37EE" w:rsidRPr="00AD01B8" w:rsidTr="00FC37EE">
        <w:tc>
          <w:tcPr>
            <w:tcW w:w="9243" w:type="dxa"/>
            <w:gridSpan w:val="2"/>
          </w:tcPr>
          <w:p w:rsidR="00FC37EE" w:rsidRPr="00AD01B8" w:rsidRDefault="00FC37EE" w:rsidP="00255D4A">
            <w:pPr>
              <w:spacing w:after="60"/>
              <w:rPr>
                <w:rFonts w:ascii="Calibri" w:eastAsiaTheme="minorHAnsi" w:hAnsi="Calibri" w:cstheme="minorBidi"/>
                <w:color w:val="237990"/>
                <w:sz w:val="24"/>
                <w:szCs w:val="24"/>
              </w:rPr>
            </w:pPr>
            <w:r w:rsidRPr="00AD01B8">
              <w:rPr>
                <w:rFonts w:ascii="Calibri" w:hAnsi="Calibri" w:cs="Arial"/>
                <w:b/>
                <w:color w:val="237990"/>
                <w:sz w:val="24"/>
                <w:szCs w:val="24"/>
              </w:rPr>
              <w:t xml:space="preserve">Recommended </w:t>
            </w:r>
            <w:r w:rsidRPr="001629C4">
              <w:rPr>
                <w:rFonts w:ascii="Calibri" w:hAnsi="Calibri" w:cs="Arial"/>
                <w:b/>
                <w:color w:val="237990"/>
                <w:sz w:val="24"/>
                <w:szCs w:val="24"/>
              </w:rPr>
              <w:t>Qualifications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255D4A">
            <w:pPr>
              <w:tabs>
                <w:tab w:val="left" w:pos="-720"/>
              </w:tabs>
              <w:spacing w:before="120" w:after="40"/>
              <w:rPr>
                <w:rFonts w:ascii="Calibri" w:eastAsiaTheme="minorHAnsi" w:hAnsi="Calibri" w:cs="Arial"/>
                <w:spacing w:val="-3"/>
              </w:rPr>
            </w:pPr>
            <w:r w:rsidRPr="00AD01B8">
              <w:rPr>
                <w:rFonts w:ascii="Calibri" w:hAnsi="Calibri" w:cs="Arial"/>
                <w:color w:val="000000"/>
              </w:rPr>
              <w:t>Licensed by the local government to conduct customs clearance formalities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255D4A">
            <w:pPr>
              <w:tabs>
                <w:tab w:val="left" w:pos="-720"/>
              </w:tabs>
              <w:spacing w:before="120" w:after="40"/>
              <w:rPr>
                <w:rFonts w:ascii="Calibri" w:eastAsiaTheme="minorHAnsi" w:hAnsi="Calibri" w:cs="Arial"/>
                <w:spacing w:val="-3"/>
              </w:rPr>
            </w:pPr>
            <w:r w:rsidRPr="00AD01B8">
              <w:rPr>
                <w:rFonts w:ascii="Calibri" w:hAnsi="Calibri" w:cs="Arial"/>
                <w:color w:val="000000"/>
              </w:rPr>
              <w:t>Current on any changes in host government customs requirements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255D4A">
            <w:pPr>
              <w:spacing w:before="120" w:after="40"/>
              <w:rPr>
                <w:rFonts w:ascii="Calibri" w:eastAsiaTheme="minorHAnsi" w:hAnsi="Calibri" w:cs="Arial"/>
              </w:rPr>
            </w:pPr>
            <w:r w:rsidRPr="00AD01B8">
              <w:rPr>
                <w:rFonts w:ascii="Calibri" w:hAnsi="Calibri" w:cs="Arial"/>
                <w:color w:val="000000"/>
              </w:rPr>
              <w:t>Familiar with the local rules and regulations with respect to USAID/FFP shipments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1629C4">
            <w:pPr>
              <w:spacing w:before="120"/>
              <w:rPr>
                <w:rFonts w:ascii="Calibri" w:eastAsiaTheme="minorHAnsi" w:hAnsi="Calibri" w:cstheme="minorBidi"/>
                <w:b/>
              </w:rPr>
            </w:pPr>
            <w:r w:rsidRPr="00AD01B8">
              <w:rPr>
                <w:rFonts w:ascii="Calibri" w:hAnsi="Calibri" w:cs="Arial"/>
                <w:color w:val="000000"/>
              </w:rPr>
              <w:t>Able to use technology effectively, including a good</w:t>
            </w:r>
            <w:r w:rsidR="00655308">
              <w:rPr>
                <w:rFonts w:ascii="Calibri" w:hAnsi="Calibri" w:cs="Arial"/>
                <w:color w:val="000000"/>
              </w:rPr>
              <w:t xml:space="preserve"> telecommunications system and </w:t>
            </w:r>
            <w:r w:rsidRPr="00AD01B8">
              <w:rPr>
                <w:rFonts w:ascii="Calibri" w:hAnsi="Calibri" w:cs="Arial"/>
                <w:color w:val="000000"/>
              </w:rPr>
              <w:t xml:space="preserve">a computerized tracking system that allows </w:t>
            </w:r>
            <w:r w:rsidR="005178F5" w:rsidRPr="00AD01B8">
              <w:rPr>
                <w:rFonts w:ascii="Calibri" w:hAnsi="Calibri" w:cs="Arial"/>
                <w:color w:val="000000"/>
              </w:rPr>
              <w:t>lo</w:t>
            </w:r>
            <w:r w:rsidR="001629C4">
              <w:rPr>
                <w:rFonts w:ascii="Calibri" w:hAnsi="Calibri" w:cs="Arial"/>
                <w:color w:val="000000"/>
              </w:rPr>
              <w:t>c</w:t>
            </w:r>
            <w:r w:rsidR="005178F5" w:rsidRPr="00AD01B8">
              <w:rPr>
                <w:rFonts w:ascii="Calibri" w:hAnsi="Calibri" w:cs="Arial"/>
                <w:color w:val="000000"/>
              </w:rPr>
              <w:t>a</w:t>
            </w:r>
            <w:r w:rsidR="001629C4">
              <w:rPr>
                <w:rFonts w:ascii="Calibri" w:hAnsi="Calibri" w:cs="Arial"/>
                <w:color w:val="000000"/>
              </w:rPr>
              <w:t>t</w:t>
            </w:r>
            <w:r w:rsidR="005178F5" w:rsidRPr="00AD01B8">
              <w:rPr>
                <w:rFonts w:ascii="Calibri" w:hAnsi="Calibri" w:cs="Arial"/>
                <w:color w:val="000000"/>
              </w:rPr>
              <w:t>ing</w:t>
            </w:r>
            <w:r w:rsidRPr="00AD01B8">
              <w:rPr>
                <w:rFonts w:ascii="Calibri" w:hAnsi="Calibri" w:cs="Arial"/>
                <w:color w:val="000000"/>
              </w:rPr>
              <w:t xml:space="preserve"> shipment at any given time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1629C4">
            <w:pPr>
              <w:tabs>
                <w:tab w:val="num" w:pos="1008"/>
              </w:tabs>
              <w:spacing w:before="120"/>
              <w:rPr>
                <w:rFonts w:ascii="Calibri" w:eastAsiaTheme="minorHAnsi" w:hAnsi="Calibri" w:cs="Arial"/>
              </w:rPr>
            </w:pPr>
            <w:r w:rsidRPr="00AD01B8">
              <w:rPr>
                <w:rFonts w:ascii="Calibri" w:hAnsi="Calibri" w:cs="Arial"/>
                <w:color w:val="000000"/>
              </w:rPr>
              <w:t>References from other</w:t>
            </w:r>
            <w:r w:rsidR="00C8363B" w:rsidRPr="00AD01B8">
              <w:rPr>
                <w:rFonts w:ascii="Calibri" w:hAnsi="Calibri" w:cs="Arial"/>
                <w:color w:val="000000"/>
              </w:rPr>
              <w:t>s (preferably</w:t>
            </w:r>
            <w:r w:rsidRPr="00AD01B8">
              <w:rPr>
                <w:rFonts w:ascii="Calibri" w:hAnsi="Calibri" w:cs="Arial"/>
                <w:color w:val="000000"/>
              </w:rPr>
              <w:t xml:space="preserve"> NGOs</w:t>
            </w:r>
            <w:r w:rsidR="00C8363B" w:rsidRPr="00AD01B8">
              <w:rPr>
                <w:rFonts w:ascii="Calibri" w:hAnsi="Calibri" w:cs="Arial"/>
                <w:color w:val="000000"/>
              </w:rPr>
              <w:t>)</w:t>
            </w:r>
            <w:r w:rsidRPr="00AD01B8">
              <w:rPr>
                <w:rFonts w:ascii="Calibri" w:hAnsi="Calibri" w:cs="Arial"/>
                <w:color w:val="000000"/>
              </w:rPr>
              <w:t xml:space="preserve"> </w:t>
            </w:r>
            <w:r w:rsidR="00A60F9B" w:rsidRPr="00AD01B8">
              <w:rPr>
                <w:rFonts w:ascii="Calibri" w:hAnsi="Calibri" w:cs="Arial"/>
                <w:color w:val="000000"/>
              </w:rPr>
              <w:t>who</w:t>
            </w:r>
            <w:r w:rsidRPr="00AD01B8">
              <w:rPr>
                <w:rFonts w:ascii="Calibri" w:hAnsi="Calibri" w:cs="Arial"/>
                <w:color w:val="000000"/>
              </w:rPr>
              <w:t xml:space="preserve"> have used their services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255D4A">
            <w:pPr>
              <w:tabs>
                <w:tab w:val="num" w:pos="1008"/>
              </w:tabs>
              <w:spacing w:before="120" w:after="40"/>
              <w:rPr>
                <w:rFonts w:ascii="Calibri" w:eastAsiaTheme="minorHAnsi" w:hAnsi="Calibri" w:cs="Arial"/>
              </w:rPr>
            </w:pPr>
            <w:r w:rsidRPr="00AD01B8">
              <w:rPr>
                <w:rFonts w:ascii="Calibri" w:hAnsi="Calibri" w:cs="Arial"/>
                <w:color w:val="000000"/>
              </w:rPr>
              <w:t>Own or have access to a bonded warehouse to protect and control cargo in transit</w:t>
            </w:r>
          </w:p>
        </w:tc>
      </w:tr>
      <w:tr w:rsidR="00FA3ADD" w:rsidRPr="00AD01B8" w:rsidTr="00FC37EE">
        <w:tc>
          <w:tcPr>
            <w:tcW w:w="648" w:type="dxa"/>
          </w:tcPr>
          <w:p w:rsidR="00FA3ADD" w:rsidRPr="001629C4" w:rsidRDefault="00FA3ADD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A3ADD" w:rsidRPr="00AD01B8" w:rsidRDefault="00FA3ADD" w:rsidP="001629C4">
            <w:pPr>
              <w:tabs>
                <w:tab w:val="num" w:pos="1008"/>
              </w:tabs>
              <w:spacing w:before="120"/>
              <w:rPr>
                <w:rFonts w:ascii="Calibri" w:hAnsi="Calibri" w:cs="Arial"/>
                <w:color w:val="000000"/>
              </w:rPr>
            </w:pPr>
            <w:r w:rsidRPr="00AD01B8">
              <w:rPr>
                <w:rFonts w:ascii="Calibri" w:hAnsi="Calibri" w:cs="Arial"/>
                <w:color w:val="000000"/>
              </w:rPr>
              <w:t>Able to provide a wide variety of services (such as sea</w:t>
            </w:r>
            <w:r w:rsidR="00655308">
              <w:rPr>
                <w:rFonts w:ascii="Calibri" w:hAnsi="Calibri" w:cs="Arial"/>
                <w:color w:val="000000"/>
              </w:rPr>
              <w:t>-</w:t>
            </w:r>
            <w:r w:rsidRPr="00AD01B8">
              <w:rPr>
                <w:rFonts w:ascii="Calibri" w:hAnsi="Calibri" w:cs="Arial"/>
                <w:color w:val="000000"/>
              </w:rPr>
              <w:t xml:space="preserve"> and air</w:t>
            </w:r>
            <w:r w:rsidR="00655308">
              <w:rPr>
                <w:rFonts w:ascii="Calibri" w:hAnsi="Calibri" w:cs="Arial"/>
                <w:color w:val="000000"/>
              </w:rPr>
              <w:t>-</w:t>
            </w:r>
            <w:bookmarkStart w:id="0" w:name="_GoBack"/>
            <w:bookmarkEnd w:id="0"/>
            <w:r w:rsidRPr="00AD01B8">
              <w:rPr>
                <w:rFonts w:ascii="Calibri" w:hAnsi="Calibri" w:cs="Arial"/>
                <w:color w:val="000000"/>
              </w:rPr>
              <w:t xml:space="preserve">freight clearance, re-packaging of damaged cargo, </w:t>
            </w:r>
            <w:r w:rsidR="00655308">
              <w:rPr>
                <w:rFonts w:ascii="Calibri" w:hAnsi="Calibri" w:cs="Arial"/>
                <w:color w:val="000000"/>
              </w:rPr>
              <w:t xml:space="preserve">and </w:t>
            </w:r>
            <w:r w:rsidRPr="00AD01B8">
              <w:rPr>
                <w:rFonts w:ascii="Calibri" w:hAnsi="Calibri" w:cs="Arial"/>
                <w:color w:val="000000"/>
              </w:rPr>
              <w:t>transport brokerage)</w:t>
            </w:r>
          </w:p>
          <w:p w:rsidR="00044D0E" w:rsidRPr="00AD01B8" w:rsidRDefault="00044D0E" w:rsidP="00655308">
            <w:pPr>
              <w:tabs>
                <w:tab w:val="num" w:pos="1008"/>
              </w:tabs>
              <w:spacing w:before="120"/>
              <w:rPr>
                <w:rFonts w:ascii="Calibri" w:eastAsiaTheme="minorHAnsi" w:hAnsi="Calibri" w:cs="Arial"/>
              </w:rPr>
            </w:pPr>
            <w:r w:rsidRPr="00AD01B8">
              <w:rPr>
                <w:rFonts w:ascii="Calibri" w:hAnsi="Calibri" w:cs="Arial"/>
                <w:color w:val="000000"/>
              </w:rPr>
              <w:t xml:space="preserve">NOTE: </w:t>
            </w:r>
            <w:r w:rsidRPr="00AD01B8">
              <w:rPr>
                <w:rFonts w:ascii="Calibri" w:hAnsi="Calibri" w:cs="Arial"/>
              </w:rPr>
              <w:t xml:space="preserve">In some cases, C&amp;F agents can act as transport brokers to contract trucks from a number of individual owners and offer inland transport service to the Awardee on a </w:t>
            </w:r>
            <w:r w:rsidR="00655308">
              <w:rPr>
                <w:rFonts w:ascii="Calibri" w:hAnsi="Calibri" w:cs="Arial"/>
              </w:rPr>
              <w:t>“</w:t>
            </w:r>
            <w:r w:rsidRPr="00AD01B8">
              <w:rPr>
                <w:rFonts w:ascii="Calibri" w:hAnsi="Calibri" w:cs="Arial"/>
              </w:rPr>
              <w:t>cost per ton delivered</w:t>
            </w:r>
            <w:r w:rsidR="00655308">
              <w:rPr>
                <w:rFonts w:ascii="Calibri" w:hAnsi="Calibri" w:cs="Arial"/>
              </w:rPr>
              <w:t>”</w:t>
            </w:r>
            <w:r w:rsidRPr="00AD01B8">
              <w:rPr>
                <w:rFonts w:ascii="Calibri" w:hAnsi="Calibri" w:cs="Arial"/>
              </w:rPr>
              <w:t xml:space="preserve"> basis.  </w:t>
            </w:r>
          </w:p>
        </w:tc>
      </w:tr>
      <w:tr w:rsidR="00FC37EE" w:rsidRPr="00AD01B8" w:rsidTr="00FC37EE">
        <w:tc>
          <w:tcPr>
            <w:tcW w:w="9243" w:type="dxa"/>
            <w:gridSpan w:val="2"/>
          </w:tcPr>
          <w:p w:rsidR="00FC37EE" w:rsidRPr="001629C4" w:rsidRDefault="00FC37EE" w:rsidP="00255D4A">
            <w:pPr>
              <w:spacing w:before="200" w:after="60"/>
              <w:rPr>
                <w:rFonts w:ascii="Calibri" w:hAnsi="Calibri" w:cs="Arial"/>
                <w:b/>
                <w:color w:val="237990"/>
                <w:sz w:val="24"/>
                <w:szCs w:val="24"/>
              </w:rPr>
            </w:pPr>
            <w:r w:rsidRPr="001629C4">
              <w:rPr>
                <w:rFonts w:ascii="Calibri" w:hAnsi="Calibri" w:cs="Arial"/>
                <w:b/>
                <w:color w:val="237990"/>
                <w:sz w:val="24"/>
                <w:szCs w:val="24"/>
              </w:rPr>
              <w:t>Specific Duties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EC2E86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Liaise with the independent surveyor, vessel agent, port authorities</w:t>
            </w:r>
            <w:r w:rsidR="008A16CE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and government departments for a smooth operation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>Process all necessary paperwork to discharge cargo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>Pay port fees and import licenses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1629C4">
            <w:pPr>
              <w:spacing w:before="12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 xml:space="preserve">Obtain customs clearances and any necessary stamps; </w:t>
            </w:r>
            <w:r w:rsidRPr="001629C4">
              <w:rPr>
                <w:rFonts w:ascii="Calibri" w:hAnsi="Calibri" w:cs="Arial"/>
                <w:color w:val="000000"/>
              </w:rPr>
              <w:t>facilitate duty exemption arrangements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  <w:color w:val="000000"/>
              </w:rPr>
            </w:pPr>
            <w:r w:rsidRPr="001629C4">
              <w:rPr>
                <w:rFonts w:ascii="Calibri" w:hAnsi="Calibri" w:cs="Arial"/>
                <w:color w:val="000000"/>
              </w:rPr>
              <w:t>Verify cargo arrival in the port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  <w:color w:val="000000"/>
              </w:rPr>
            </w:pPr>
            <w:r w:rsidRPr="001629C4">
              <w:rPr>
                <w:rFonts w:ascii="Calibri" w:hAnsi="Calibri" w:cs="Arial"/>
                <w:color w:val="000000"/>
              </w:rPr>
              <w:t>Oversee discharge, storage</w:t>
            </w:r>
            <w:r w:rsidR="008A16CE">
              <w:rPr>
                <w:rFonts w:ascii="Calibri" w:hAnsi="Calibri" w:cs="Arial"/>
                <w:color w:val="000000"/>
              </w:rPr>
              <w:t>,</w:t>
            </w:r>
            <w:r w:rsidRPr="001629C4">
              <w:rPr>
                <w:rFonts w:ascii="Calibri" w:hAnsi="Calibri" w:cs="Arial"/>
                <w:color w:val="000000"/>
              </w:rPr>
              <w:t xml:space="preserve"> and loading operations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  <w:color w:val="000000"/>
              </w:rPr>
            </w:pPr>
            <w:r w:rsidRPr="001629C4">
              <w:rPr>
                <w:rFonts w:ascii="Calibri" w:hAnsi="Calibri" w:cs="Arial"/>
                <w:color w:val="000000"/>
              </w:rPr>
              <w:t>Inspect shipping packages for visible damage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eastAsiaTheme="minorHAnsi" w:hAnsi="Calibri" w:cs="Arial"/>
                <w:bCs/>
              </w:rPr>
            </w:pPr>
            <w:r w:rsidRPr="001629C4">
              <w:rPr>
                <w:rFonts w:ascii="Calibri" w:hAnsi="Calibri" w:cs="Arial"/>
                <w:color w:val="000000"/>
              </w:rPr>
              <w:t>Weigh a sample of cargo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>Recruit, train</w:t>
            </w:r>
            <w:r w:rsidR="008A16CE">
              <w:rPr>
                <w:rFonts w:ascii="Calibri" w:hAnsi="Calibri" w:cs="Arial"/>
              </w:rPr>
              <w:t>,</w:t>
            </w:r>
            <w:r w:rsidRPr="001629C4">
              <w:rPr>
                <w:rFonts w:ascii="Calibri" w:hAnsi="Calibri" w:cs="Arial"/>
              </w:rPr>
              <w:t xml:space="preserve"> and supervise laborers for reconstitution of damaged cargo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 xml:space="preserve">Document all damage or losses to cargo 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 xml:space="preserve">Facilitate transport of cargo from vessel (or port transit sheds) to Awardee warehouse(s) 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1629C4">
            <w:pPr>
              <w:spacing w:before="12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>Recruit, train</w:t>
            </w:r>
            <w:r w:rsidR="008A16CE">
              <w:rPr>
                <w:rFonts w:ascii="Calibri" w:hAnsi="Calibri" w:cs="Arial"/>
              </w:rPr>
              <w:t>,</w:t>
            </w:r>
            <w:r w:rsidRPr="001629C4">
              <w:rPr>
                <w:rFonts w:ascii="Calibri" w:hAnsi="Calibri" w:cs="Arial"/>
              </w:rPr>
              <w:t xml:space="preserve"> and supervise laborers for transfer of cargo to trucks (or railcars) for inland transport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>Document all movement of cargo with dispatch waybills and daily dispatch reports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1629C4">
            <w:pPr>
              <w:spacing w:before="12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>Submit to Awardee copies of all port invoices for landing fees, port warehouse, storage, and labor charges</w:t>
            </w:r>
          </w:p>
        </w:tc>
      </w:tr>
      <w:tr w:rsidR="00FE6AD6" w:rsidRPr="00AD01B8" w:rsidTr="00FC37EE">
        <w:tc>
          <w:tcPr>
            <w:tcW w:w="648" w:type="dxa"/>
          </w:tcPr>
          <w:p w:rsidR="00FE6AD6" w:rsidRPr="001629C4" w:rsidRDefault="00FE6AD6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FE6AD6" w:rsidRPr="001629C4" w:rsidRDefault="00FE6AD6" w:rsidP="00255D4A">
            <w:pPr>
              <w:spacing w:before="120" w:after="40"/>
              <w:rPr>
                <w:rFonts w:ascii="Calibri" w:hAnsi="Calibri" w:cs="Arial"/>
              </w:rPr>
            </w:pPr>
            <w:r w:rsidRPr="001629C4">
              <w:rPr>
                <w:rFonts w:ascii="Calibri" w:hAnsi="Calibri" w:cs="Arial"/>
              </w:rPr>
              <w:t xml:space="preserve">Submit to Awardee copies of signed registers for payments to laborers </w:t>
            </w:r>
          </w:p>
        </w:tc>
      </w:tr>
      <w:tr w:rsidR="00FC37EE" w:rsidRPr="00AD01B8" w:rsidTr="00FC37EE">
        <w:tc>
          <w:tcPr>
            <w:tcW w:w="9243" w:type="dxa"/>
            <w:gridSpan w:val="2"/>
          </w:tcPr>
          <w:p w:rsidR="00FC37EE" w:rsidRPr="001629C4" w:rsidRDefault="00FC37EE" w:rsidP="00255D4A">
            <w:pPr>
              <w:spacing w:before="200" w:after="60"/>
              <w:rPr>
                <w:rFonts w:ascii="Calibri" w:eastAsiaTheme="minorHAnsi" w:hAnsi="Calibri" w:cs="Arial"/>
                <w:color w:val="237990"/>
                <w:sz w:val="24"/>
                <w:szCs w:val="24"/>
              </w:rPr>
            </w:pPr>
            <w:r w:rsidRPr="001629C4">
              <w:rPr>
                <w:rFonts w:ascii="Calibri" w:hAnsi="Calibri" w:cs="Arial"/>
                <w:b/>
                <w:color w:val="237990"/>
                <w:sz w:val="24"/>
                <w:szCs w:val="24"/>
              </w:rPr>
              <w:lastRenderedPageBreak/>
              <w:t>Clauses to Include in Contract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Name(s) and title(s) of Awardee staff member to whom agent reports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Right to sub-contract only with Awardee approval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655308">
            <w:pPr>
              <w:spacing w:before="12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Standards for discharge and dispatch</w:t>
            </w:r>
            <w:r>
              <w:rPr>
                <w:rFonts w:ascii="Calibri" w:hAnsi="Calibri" w:cs="Arial"/>
              </w:rPr>
              <w:t xml:space="preserve"> to the final distribution</w:t>
            </w:r>
            <w:r w:rsidR="00655308">
              <w:rPr>
                <w:rFonts w:ascii="Calibri" w:hAnsi="Calibri" w:cs="Arial"/>
              </w:rPr>
              <w:t>,</w:t>
            </w:r>
            <w:r w:rsidRPr="00AD01B8">
              <w:rPr>
                <w:rFonts w:ascii="Calibri" w:hAnsi="Calibri" w:cs="Arial"/>
              </w:rPr>
              <w:t xml:space="preserve"> especially on a through bill of lading 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EC2E86">
            <w:pPr>
              <w:spacing w:before="12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Responsibility for delivering 100 percent of the shipment, as per discharge tally, to designated Awardee location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1629C4">
            <w:pPr>
              <w:spacing w:before="12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Contractor provision of insurance to cover losses, and/or, as necessary, posting of performance bonds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Maximum time allowed to perform contract services</w:t>
            </w:r>
            <w:r>
              <w:rPr>
                <w:rFonts w:ascii="Calibri" w:hAnsi="Calibri" w:cs="Arial"/>
              </w:rPr>
              <w:t xml:space="preserve"> (to avoid demurrage)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Provision for force </w:t>
            </w:r>
            <w:r w:rsidR="00DE28E4">
              <w:rPr>
                <w:rFonts w:ascii="Calibri" w:hAnsi="Calibri" w:cs="Arial"/>
              </w:rPr>
              <w:t>majeure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EC2E86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Penalty for non-performance (such as delay in delivery)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255D4A">
            <w:pPr>
              <w:spacing w:before="120" w:after="4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Provisions for settlement of disputes, enforcement of the contract, and payment of damages</w:t>
            </w:r>
          </w:p>
        </w:tc>
      </w:tr>
      <w:tr w:rsidR="00BE3EB8" w:rsidRPr="00AD01B8" w:rsidTr="00FC37EE">
        <w:tc>
          <w:tcPr>
            <w:tcW w:w="648" w:type="dxa"/>
          </w:tcPr>
          <w:p w:rsidR="00BE3EB8" w:rsidRPr="001629C4" w:rsidRDefault="00BE3EB8" w:rsidP="001629C4">
            <w:pPr>
              <w:spacing w:before="120"/>
              <w:rPr>
                <w:rFonts w:ascii="Calibri" w:eastAsiaTheme="minorHAnsi" w:hAnsi="Calibri" w:cstheme="minorBidi"/>
                <w:sz w:val="28"/>
                <w:szCs w:val="28"/>
              </w:rPr>
            </w:pPr>
            <w:r w:rsidRPr="001629C4">
              <w:rPr>
                <w:rFonts w:ascii="Calibri" w:eastAsiaTheme="minorHAnsi" w:hAnsi="Calibri" w:cstheme="minorBidi"/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E3EB8" w:rsidRPr="00AD01B8" w:rsidRDefault="00BE3EB8" w:rsidP="00655308">
            <w:pPr>
              <w:spacing w:before="120"/>
              <w:rPr>
                <w:rFonts w:ascii="Calibri" w:hAnsi="Calibri" w:cs="Arial"/>
              </w:rPr>
            </w:pPr>
            <w:r w:rsidRPr="00AD01B8">
              <w:rPr>
                <w:rFonts w:ascii="Calibri" w:hAnsi="Calibri" w:cs="Arial"/>
              </w:rPr>
              <w:t>Payment terms (</w:t>
            </w:r>
            <w:r w:rsidR="00655308">
              <w:rPr>
                <w:rFonts w:ascii="Calibri" w:hAnsi="Calibri" w:cs="Arial"/>
              </w:rPr>
              <w:t>r</w:t>
            </w:r>
            <w:r w:rsidRPr="00AD01B8">
              <w:rPr>
                <w:rFonts w:ascii="Calibri" w:hAnsi="Calibri" w:cs="Arial"/>
              </w:rPr>
              <w:t>equire the contractor to submit invoices within a limited number of days after shipment is discharged; generally only pay for a service when it is completed at a satisfactory level)</w:t>
            </w:r>
          </w:p>
        </w:tc>
      </w:tr>
    </w:tbl>
    <w:p w:rsidR="002113B0" w:rsidRPr="00AD01B8" w:rsidRDefault="00D9179B">
      <w:pPr>
        <w:rPr>
          <w:rFonts w:ascii="Calibri" w:hAnsi="Calibri"/>
          <w:sz w:val="22"/>
          <w:szCs w:val="22"/>
        </w:rPr>
      </w:pPr>
    </w:p>
    <w:sectPr w:rsidR="002113B0" w:rsidRPr="00AD01B8" w:rsidSect="00A8531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9B" w:rsidRDefault="00D9179B" w:rsidP="00A85318">
      <w:r>
        <w:separator/>
      </w:r>
    </w:p>
  </w:endnote>
  <w:endnote w:type="continuationSeparator" w:id="0">
    <w:p w:rsidR="00D9179B" w:rsidRDefault="00D9179B" w:rsidP="00A8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47284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85318" w:rsidRPr="00D42424" w:rsidRDefault="00A85318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2424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004061" w:rsidRPr="00D4242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D42424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004061" w:rsidRPr="00D424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55308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004061" w:rsidRPr="00D4242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42424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004061" w:rsidRPr="00D42424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D42424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004061" w:rsidRPr="00D424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55308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004061" w:rsidRPr="00D424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A85318" w:rsidRDefault="00A8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9B" w:rsidRDefault="00D9179B" w:rsidP="00A85318">
      <w:r>
        <w:separator/>
      </w:r>
    </w:p>
  </w:footnote>
  <w:footnote w:type="continuationSeparator" w:id="0">
    <w:p w:rsidR="00D9179B" w:rsidRDefault="00D9179B" w:rsidP="00A8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18" w:rsidRPr="006460E2" w:rsidRDefault="00A85318" w:rsidP="00A85318">
    <w:pPr>
      <w:spacing w:after="120"/>
      <w:jc w:val="center"/>
      <w:outlineLvl w:val="1"/>
      <w:rPr>
        <w:rFonts w:asciiTheme="minorHAnsi" w:hAnsiTheme="minorHAnsi" w:cs="Arial"/>
        <w:b/>
        <w:bCs/>
        <w:sz w:val="28"/>
        <w:szCs w:val="28"/>
      </w:rPr>
    </w:pPr>
    <w:r w:rsidRPr="00612012">
      <w:rPr>
        <w:rFonts w:asciiTheme="minorHAnsi" w:hAnsiTheme="minorHAnsi" w:cs="Arial"/>
        <w:b/>
        <w:bCs/>
        <w:color w:val="237990"/>
        <w:sz w:val="28"/>
        <w:szCs w:val="28"/>
      </w:rPr>
      <w:t xml:space="preserve">Clearing </w:t>
    </w:r>
    <w:r w:rsidR="00655308">
      <w:rPr>
        <w:rFonts w:asciiTheme="minorHAnsi" w:hAnsiTheme="minorHAnsi" w:cs="Arial"/>
        <w:b/>
        <w:bCs/>
        <w:color w:val="237990"/>
        <w:sz w:val="28"/>
        <w:szCs w:val="28"/>
      </w:rPr>
      <w:t>&amp;</w:t>
    </w:r>
    <w:r w:rsidRPr="00612012">
      <w:rPr>
        <w:rFonts w:asciiTheme="minorHAnsi" w:hAnsiTheme="minorHAnsi" w:cs="Arial"/>
        <w:b/>
        <w:bCs/>
        <w:color w:val="237990"/>
        <w:sz w:val="28"/>
        <w:szCs w:val="28"/>
      </w:rPr>
      <w:t xml:space="preserve"> Forwarding Agent </w:t>
    </w:r>
    <w:r w:rsidR="006460E2" w:rsidRPr="00612012">
      <w:rPr>
        <w:rFonts w:asciiTheme="minorHAnsi" w:hAnsiTheme="minorHAnsi"/>
        <w:b/>
        <w:bCs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7B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A8136C2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0AA87B7E"/>
    <w:multiLevelType w:val="multilevel"/>
    <w:tmpl w:val="E71229F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56F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1BC870B8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1DE1041D"/>
    <w:multiLevelType w:val="hybridMultilevel"/>
    <w:tmpl w:val="F9F2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508B"/>
    <w:multiLevelType w:val="hybridMultilevel"/>
    <w:tmpl w:val="6A6A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9D1"/>
    <w:multiLevelType w:val="hybridMultilevel"/>
    <w:tmpl w:val="E0B4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75B44"/>
    <w:multiLevelType w:val="hybridMultilevel"/>
    <w:tmpl w:val="0520FF7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320DA"/>
    <w:multiLevelType w:val="hybridMultilevel"/>
    <w:tmpl w:val="9F7AA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75BDD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1" w15:restartNumberingAfterBreak="0">
    <w:nsid w:val="69AE1520"/>
    <w:multiLevelType w:val="multilevel"/>
    <w:tmpl w:val="445A86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904FD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7A197626"/>
    <w:multiLevelType w:val="singleLevel"/>
    <w:tmpl w:val="229C3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8E"/>
    <w:rsid w:val="00004061"/>
    <w:rsid w:val="00026341"/>
    <w:rsid w:val="000433EC"/>
    <w:rsid w:val="00044D0E"/>
    <w:rsid w:val="000618A8"/>
    <w:rsid w:val="000B75D5"/>
    <w:rsid w:val="000F6509"/>
    <w:rsid w:val="0013251B"/>
    <w:rsid w:val="00133069"/>
    <w:rsid w:val="001629C4"/>
    <w:rsid w:val="00165D64"/>
    <w:rsid w:val="00193361"/>
    <w:rsid w:val="002243F3"/>
    <w:rsid w:val="002305AD"/>
    <w:rsid w:val="00230F56"/>
    <w:rsid w:val="00255D4A"/>
    <w:rsid w:val="002B0376"/>
    <w:rsid w:val="002B47CA"/>
    <w:rsid w:val="002E0D1A"/>
    <w:rsid w:val="0032659E"/>
    <w:rsid w:val="00335F48"/>
    <w:rsid w:val="003377D9"/>
    <w:rsid w:val="00341B54"/>
    <w:rsid w:val="00343E6B"/>
    <w:rsid w:val="00363F44"/>
    <w:rsid w:val="00371343"/>
    <w:rsid w:val="00372E19"/>
    <w:rsid w:val="00387EF7"/>
    <w:rsid w:val="00404A18"/>
    <w:rsid w:val="00407BBC"/>
    <w:rsid w:val="004968E5"/>
    <w:rsid w:val="004E103B"/>
    <w:rsid w:val="005178F5"/>
    <w:rsid w:val="005708FA"/>
    <w:rsid w:val="005B1A7E"/>
    <w:rsid w:val="005B721B"/>
    <w:rsid w:val="005F6326"/>
    <w:rsid w:val="00612012"/>
    <w:rsid w:val="006460E2"/>
    <w:rsid w:val="00655308"/>
    <w:rsid w:val="00667BD5"/>
    <w:rsid w:val="006D3A0D"/>
    <w:rsid w:val="00703BF5"/>
    <w:rsid w:val="007256E2"/>
    <w:rsid w:val="00747BCA"/>
    <w:rsid w:val="0077267F"/>
    <w:rsid w:val="007F4D00"/>
    <w:rsid w:val="00874B27"/>
    <w:rsid w:val="008A16CE"/>
    <w:rsid w:val="008A627A"/>
    <w:rsid w:val="00904B80"/>
    <w:rsid w:val="00905DAA"/>
    <w:rsid w:val="009253AB"/>
    <w:rsid w:val="00934FCF"/>
    <w:rsid w:val="009D6666"/>
    <w:rsid w:val="009E62AA"/>
    <w:rsid w:val="00A16626"/>
    <w:rsid w:val="00A22F22"/>
    <w:rsid w:val="00A37C91"/>
    <w:rsid w:val="00A60F9B"/>
    <w:rsid w:val="00A61817"/>
    <w:rsid w:val="00A66D0B"/>
    <w:rsid w:val="00A81456"/>
    <w:rsid w:val="00A85318"/>
    <w:rsid w:val="00A86598"/>
    <w:rsid w:val="00AD01B8"/>
    <w:rsid w:val="00AE118E"/>
    <w:rsid w:val="00AF2F32"/>
    <w:rsid w:val="00B807F3"/>
    <w:rsid w:val="00B96786"/>
    <w:rsid w:val="00BE3EB8"/>
    <w:rsid w:val="00C817E2"/>
    <w:rsid w:val="00C8363B"/>
    <w:rsid w:val="00CA19B6"/>
    <w:rsid w:val="00CA502F"/>
    <w:rsid w:val="00CC693D"/>
    <w:rsid w:val="00D11888"/>
    <w:rsid w:val="00D42424"/>
    <w:rsid w:val="00D426B7"/>
    <w:rsid w:val="00D570D1"/>
    <w:rsid w:val="00D86FFB"/>
    <w:rsid w:val="00D9179B"/>
    <w:rsid w:val="00DE28E4"/>
    <w:rsid w:val="00E61937"/>
    <w:rsid w:val="00E63792"/>
    <w:rsid w:val="00E67299"/>
    <w:rsid w:val="00EE7330"/>
    <w:rsid w:val="00F54CF5"/>
    <w:rsid w:val="00FA3ADD"/>
    <w:rsid w:val="00FB4927"/>
    <w:rsid w:val="00FC304A"/>
    <w:rsid w:val="00FC37EE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5A2B"/>
  <w15:docId w15:val="{1CDC1B4E-38F0-4B34-A31C-8C3E559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A85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2016-06-03T11:23:00Z</cp:lastPrinted>
  <dcterms:created xsi:type="dcterms:W3CDTF">2017-03-13T19:36:00Z</dcterms:created>
  <dcterms:modified xsi:type="dcterms:W3CDTF">2017-03-13T19:36:00Z</dcterms:modified>
</cp:coreProperties>
</file>