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40" w:rsidRPr="00862910" w:rsidRDefault="00684D40" w:rsidP="009F04AD">
      <w:pPr>
        <w:spacing w:before="0" w:after="200" w:line="252" w:lineRule="auto"/>
        <w:rPr>
          <w:rFonts w:eastAsia="Times New Roman" w:cs="Times New Roman"/>
          <w:lang w:val="en-GB" w:eastAsia="en-GB"/>
        </w:rPr>
      </w:pPr>
      <w:r w:rsidRPr="00862910">
        <w:rPr>
          <w:rFonts w:eastAsia="Times New Roman" w:cs="Times New Roman"/>
          <w:lang w:val="en-GB" w:eastAsia="en-GB"/>
        </w:rPr>
        <w:t>The number of staff required to efficiently perform all commodity management activities is dependent on many factors, including the amount and types of commodit</w:t>
      </w:r>
      <w:r w:rsidR="00563058" w:rsidRPr="00862910">
        <w:rPr>
          <w:rFonts w:eastAsia="Times New Roman" w:cs="Times New Roman"/>
          <w:lang w:val="en-GB" w:eastAsia="en-GB"/>
        </w:rPr>
        <w:t>ies</w:t>
      </w:r>
      <w:r w:rsidRPr="00862910">
        <w:rPr>
          <w:rFonts w:eastAsia="Times New Roman" w:cs="Times New Roman"/>
          <w:lang w:val="en-GB" w:eastAsia="en-GB"/>
        </w:rPr>
        <w:t xml:space="preserve"> handled, the total number of warehouses, the total number of distribution sites, and t</w:t>
      </w:r>
      <w:r w:rsidR="001603C1">
        <w:rPr>
          <w:rFonts w:eastAsia="Times New Roman" w:cs="Times New Roman"/>
          <w:lang w:val="en-GB" w:eastAsia="en-GB"/>
        </w:rPr>
        <w:t>he frequency of distributions.</w:t>
      </w:r>
    </w:p>
    <w:p w:rsidR="00682233" w:rsidRPr="00862910" w:rsidRDefault="00721330" w:rsidP="009F04AD">
      <w:pPr>
        <w:spacing w:before="0" w:after="200" w:line="252" w:lineRule="auto"/>
      </w:pPr>
      <w:r w:rsidRPr="00862910">
        <w:rPr>
          <w:iCs/>
        </w:rPr>
        <w:t xml:space="preserve">Ensure proposal </w:t>
      </w:r>
      <w:r w:rsidRPr="00664753">
        <w:rPr>
          <w:iCs/>
        </w:rPr>
        <w:t xml:space="preserve">staffing </w:t>
      </w:r>
      <w:r w:rsidRPr="00664753">
        <w:rPr>
          <w:b/>
          <w:iCs/>
        </w:rPr>
        <w:t>plan</w:t>
      </w:r>
      <w:r w:rsidRPr="00862910">
        <w:rPr>
          <w:iCs/>
        </w:rPr>
        <w:t xml:space="preserve"> includes adequate persons </w:t>
      </w:r>
      <w:r w:rsidR="00682233" w:rsidRPr="00862910">
        <w:t xml:space="preserve">to cover the </w:t>
      </w:r>
      <w:r w:rsidR="00563058" w:rsidRPr="00862910">
        <w:t>responsibilities</w:t>
      </w:r>
      <w:r w:rsidR="0038309F" w:rsidRPr="00862910">
        <w:t xml:space="preserve"> </w:t>
      </w:r>
      <w:r w:rsidR="00682233" w:rsidRPr="00862910">
        <w:t>listed below</w:t>
      </w:r>
      <w:r w:rsidR="001603C1">
        <w:t xml:space="preserve">. </w:t>
      </w:r>
      <w:r w:rsidR="00682233" w:rsidRPr="00862910">
        <w:t>For small programs, some functions may be combined into fewer positions, while large programs may require several staff members for one function.</w:t>
      </w:r>
    </w:p>
    <w:p w:rsidR="0038309F" w:rsidRPr="00862910" w:rsidRDefault="00682233" w:rsidP="009F04AD">
      <w:pPr>
        <w:spacing w:before="0" w:after="200" w:line="252" w:lineRule="auto"/>
      </w:pPr>
      <w:r w:rsidRPr="00862910">
        <w:t>In all cases, e</w:t>
      </w:r>
      <w:r w:rsidR="0038309F" w:rsidRPr="00862910">
        <w:t xml:space="preserve">nsure separation of duties between staff with physical possession of </w:t>
      </w:r>
      <w:r w:rsidRPr="00862910">
        <w:t>commodity</w:t>
      </w:r>
      <w:r w:rsidR="0038309F" w:rsidRPr="00862910">
        <w:t xml:space="preserve"> and staff programming, </w:t>
      </w:r>
      <w:r w:rsidRPr="00862910">
        <w:t>monitoring</w:t>
      </w:r>
      <w:r w:rsidR="0038309F" w:rsidRPr="00862910">
        <w:t xml:space="preserve">, and/or distributing the </w:t>
      </w:r>
      <w:r w:rsidRPr="00862910">
        <w:t>commodity</w:t>
      </w:r>
      <w:r w:rsidR="0038309F" w:rsidRPr="00862910">
        <w:t xml:space="preserve">.  </w:t>
      </w:r>
    </w:p>
    <w:p w:rsidR="00682233" w:rsidRPr="00862910" w:rsidRDefault="00682233" w:rsidP="009F04AD">
      <w:pPr>
        <w:spacing w:before="0" w:line="252" w:lineRule="auto"/>
      </w:pPr>
      <w:r w:rsidRPr="00862910">
        <w:t>For additional details on specific activities and tasks for each function, see</w:t>
      </w:r>
      <w:r w:rsidR="009F04AD">
        <w:t xml:space="preserve"> the </w:t>
      </w:r>
      <w:r w:rsidR="001603C1">
        <w:t xml:space="preserve">following </w:t>
      </w:r>
      <w:r w:rsidR="009F04AD">
        <w:t>TOOLS</w:t>
      </w:r>
      <w:r w:rsidRPr="00862910">
        <w:t>:</w:t>
      </w:r>
    </w:p>
    <w:p w:rsidR="00043D0E" w:rsidRPr="001603C1" w:rsidRDefault="00043D0E" w:rsidP="001603C1">
      <w:pPr>
        <w:pStyle w:val="ListParagraph"/>
        <w:numPr>
          <w:ilvl w:val="0"/>
          <w:numId w:val="29"/>
        </w:numPr>
        <w:spacing w:before="0" w:line="252" w:lineRule="auto"/>
        <w:outlineLvl w:val="0"/>
        <w:rPr>
          <w:b/>
        </w:rPr>
      </w:pPr>
      <w:bookmarkStart w:id="0" w:name="two_delegation"/>
      <w:bookmarkStart w:id="1" w:name="three_Collaboration"/>
      <w:bookmarkStart w:id="2" w:name="B_In"/>
      <w:bookmarkEnd w:id="0"/>
      <w:bookmarkEnd w:id="1"/>
      <w:bookmarkEnd w:id="2"/>
      <w:r w:rsidRPr="001603C1">
        <w:rPr>
          <w:b/>
        </w:rPr>
        <w:t>Commodity Manager Core Competencies</w:t>
      </w:r>
    </w:p>
    <w:p w:rsidR="00682233" w:rsidRPr="001603C1" w:rsidRDefault="00682233" w:rsidP="001603C1">
      <w:pPr>
        <w:pStyle w:val="ListParagraph"/>
        <w:numPr>
          <w:ilvl w:val="0"/>
          <w:numId w:val="29"/>
        </w:numPr>
        <w:spacing w:before="0" w:line="252" w:lineRule="auto"/>
        <w:outlineLvl w:val="0"/>
        <w:rPr>
          <w:b/>
        </w:rPr>
      </w:pPr>
      <w:r w:rsidRPr="001603C1">
        <w:rPr>
          <w:b/>
        </w:rPr>
        <w:t>Distribution Team Member Responsibilities</w:t>
      </w:r>
    </w:p>
    <w:p w:rsidR="00682233" w:rsidRPr="001603C1" w:rsidRDefault="00682233" w:rsidP="001603C1">
      <w:pPr>
        <w:pStyle w:val="ListParagraph"/>
        <w:numPr>
          <w:ilvl w:val="0"/>
          <w:numId w:val="29"/>
        </w:numPr>
        <w:spacing w:before="0" w:line="252" w:lineRule="auto"/>
        <w:outlineLvl w:val="0"/>
        <w:rPr>
          <w:b/>
        </w:rPr>
      </w:pPr>
      <w:r w:rsidRPr="001603C1">
        <w:rPr>
          <w:b/>
        </w:rPr>
        <w:t>Warehouse Staffing Guidelines</w:t>
      </w:r>
    </w:p>
    <w:p w:rsidR="00862910" w:rsidRPr="001603C1" w:rsidRDefault="00682233" w:rsidP="001603C1">
      <w:pPr>
        <w:pStyle w:val="ListParagraph"/>
        <w:numPr>
          <w:ilvl w:val="0"/>
          <w:numId w:val="29"/>
        </w:numPr>
        <w:spacing w:before="0" w:after="200" w:line="252" w:lineRule="auto"/>
        <w:outlineLvl w:val="0"/>
        <w:rPr>
          <w:b/>
        </w:rPr>
      </w:pPr>
      <w:r w:rsidRPr="001603C1">
        <w:rPr>
          <w:b/>
        </w:rPr>
        <w:t>Distribution Site Personnel Checklist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7470"/>
      </w:tblGrid>
      <w:tr w:rsidR="00033F95" w:rsidRPr="00CE3123" w:rsidTr="00CE3123">
        <w:trPr>
          <w:trHeight w:val="432"/>
          <w:tblHeader/>
        </w:trPr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033F95" w:rsidRPr="00CE3123" w:rsidRDefault="00033F95" w:rsidP="00F410C9">
            <w:pPr>
              <w:spacing w:before="0" w:after="0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Function</w:t>
            </w:r>
          </w:p>
        </w:tc>
        <w:tc>
          <w:tcPr>
            <w:tcW w:w="747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C8029"/>
            <w:vAlign w:val="center"/>
          </w:tcPr>
          <w:p w:rsidR="00033F95" w:rsidRPr="00CE3123" w:rsidRDefault="00033F95" w:rsidP="00F410C9">
            <w:pPr>
              <w:spacing w:before="0" w:after="0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Responsibilities</w:t>
            </w:r>
          </w:p>
        </w:tc>
      </w:tr>
      <w:tr w:rsidR="00033F95" w:rsidRPr="00CE3123" w:rsidTr="00CE3123">
        <w:tc>
          <w:tcPr>
            <w:tcW w:w="1638" w:type="dxa"/>
            <w:tcBorders>
              <w:top w:val="nil"/>
              <w:left w:val="nil"/>
              <w:bottom w:val="single" w:sz="8" w:space="0" w:color="7C8029"/>
              <w:right w:val="single" w:sz="8" w:space="0" w:color="7C8029"/>
            </w:tcBorders>
          </w:tcPr>
          <w:p w:rsidR="00033F95" w:rsidRPr="00CE3123" w:rsidRDefault="00033F95" w:rsidP="001603C1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t>Project/Program Management</w:t>
            </w:r>
          </w:p>
        </w:tc>
        <w:tc>
          <w:tcPr>
            <w:tcW w:w="7470" w:type="dxa"/>
            <w:tcBorders>
              <w:top w:val="nil"/>
              <w:left w:val="single" w:sz="8" w:space="0" w:color="7C8029"/>
              <w:bottom w:val="single" w:sz="8" w:space="0" w:color="7C8029"/>
              <w:right w:val="nil"/>
            </w:tcBorders>
          </w:tcPr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Overall accountability for resources and </w:t>
            </w:r>
            <w:r w:rsidR="001603C1">
              <w:rPr>
                <w:rFonts w:eastAsia="Times New Roman" w:cs="Arial"/>
                <w:sz w:val="20"/>
                <w:szCs w:val="20"/>
              </w:rPr>
              <w:t>adherence of all staff to donor-</w:t>
            </w:r>
            <w:r w:rsidRPr="00CE3123">
              <w:rPr>
                <w:rFonts w:eastAsia="Times New Roman" w:cs="Arial"/>
                <w:sz w:val="20"/>
                <w:szCs w:val="20"/>
              </w:rPr>
              <w:t>established policies and procedures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Establishment of targeting criteria and distribution me</w:t>
            </w:r>
            <w:r w:rsidR="00F410C9" w:rsidRPr="00CE3123">
              <w:rPr>
                <w:rFonts w:eastAsia="Times New Roman" w:cs="Arial"/>
                <w:sz w:val="20"/>
                <w:szCs w:val="20"/>
              </w:rPr>
              <w:t>chanism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Coordination among internal units and external agencies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Donor liaison</w:t>
            </w:r>
          </w:p>
          <w:p w:rsidR="00033F95" w:rsidRPr="00CE3123" w:rsidRDefault="00F174B0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</w:t>
            </w:r>
            <w:r w:rsidR="00033F95" w:rsidRPr="00CE3123">
              <w:rPr>
                <w:rFonts w:eastAsia="Times New Roman" w:cs="Arial"/>
                <w:sz w:val="20"/>
                <w:szCs w:val="20"/>
              </w:rPr>
              <w:t xml:space="preserve">ecruitment </w:t>
            </w:r>
            <w:r w:rsidRPr="00CE3123">
              <w:rPr>
                <w:rFonts w:eastAsia="Times New Roman" w:cs="Arial"/>
                <w:sz w:val="20"/>
                <w:szCs w:val="20"/>
              </w:rPr>
              <w:t>of</w:t>
            </w:r>
            <w:r w:rsidR="00033F95" w:rsidRPr="00CE312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6775D" w:rsidRPr="00CE3123">
              <w:rPr>
                <w:rFonts w:eastAsia="Times New Roman" w:cs="Arial"/>
                <w:sz w:val="20"/>
                <w:szCs w:val="20"/>
              </w:rPr>
              <w:t>commodity</w:t>
            </w:r>
            <w:r w:rsidR="00033F95" w:rsidRPr="00CE3123">
              <w:rPr>
                <w:rFonts w:eastAsia="Times New Roman" w:cs="Arial"/>
                <w:sz w:val="20"/>
                <w:szCs w:val="20"/>
              </w:rPr>
              <w:t xml:space="preserve"> management 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staff 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Annual procurement planning</w:t>
            </w:r>
          </w:p>
          <w:p w:rsidR="00F174B0" w:rsidRPr="00CE3123" w:rsidRDefault="00F174B0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System</w:t>
            </w:r>
            <w:r w:rsidR="001603C1">
              <w:rPr>
                <w:rFonts w:eastAsia="Calibri" w:cs="Times New Roman"/>
                <w:sz w:val="20"/>
                <w:szCs w:val="20"/>
              </w:rPr>
              <w:t>s development (including record-</w:t>
            </w:r>
            <w:r w:rsidRPr="00CE3123">
              <w:rPr>
                <w:rFonts w:eastAsia="Calibri" w:cs="Times New Roman"/>
                <w:sz w:val="20"/>
                <w:szCs w:val="20"/>
              </w:rPr>
              <w:t>keeping, commodity accounting, internal control, post-distribution monitoring, and reporting)</w:t>
            </w:r>
          </w:p>
          <w:p w:rsidR="000C334A" w:rsidRPr="00CE3123" w:rsidRDefault="000C334A" w:rsidP="00CE3123">
            <w:pPr>
              <w:pStyle w:val="ListParagraph"/>
              <w:numPr>
                <w:ilvl w:val="0"/>
                <w:numId w:val="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Recipient registration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site selection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planning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Monitoring system design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Recipient feedback </w:t>
            </w:r>
            <w:r w:rsidR="009F04AD">
              <w:rPr>
                <w:rFonts w:eastAsia="Times New Roman" w:cs="Arial"/>
                <w:sz w:val="20"/>
                <w:szCs w:val="20"/>
              </w:rPr>
              <w:t>and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complaints mechanism</w:t>
            </w:r>
            <w:r w:rsidR="00F410C9" w:rsidRPr="00CE3123">
              <w:rPr>
                <w:rFonts w:eastAsia="Times New Roman" w:cs="Arial"/>
                <w:sz w:val="20"/>
                <w:szCs w:val="20"/>
              </w:rPr>
              <w:t>s</w:t>
            </w:r>
          </w:p>
          <w:p w:rsidR="00033F95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Overall documentation and follow-up of all losses</w:t>
            </w:r>
          </w:p>
          <w:p w:rsidR="00F174B0" w:rsidRPr="00CE3123" w:rsidRDefault="00F174B0" w:rsidP="00CE3123">
            <w:pPr>
              <w:pStyle w:val="ListParagraph"/>
              <w:numPr>
                <w:ilvl w:val="0"/>
                <w:numId w:val="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 xml:space="preserve">Periodic warehouse inspections </w:t>
            </w:r>
          </w:p>
          <w:p w:rsidR="00F174B0" w:rsidRPr="00CE3123" w:rsidRDefault="00F174B0" w:rsidP="00CE3123">
            <w:pPr>
              <w:pStyle w:val="ListParagraph"/>
              <w:numPr>
                <w:ilvl w:val="0"/>
                <w:numId w:val="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Quarterly physical inventory</w:t>
            </w:r>
          </w:p>
          <w:p w:rsidR="00F174B0" w:rsidRPr="00CE3123" w:rsidRDefault="00F174B0" w:rsidP="00CE3123">
            <w:pPr>
              <w:pStyle w:val="ListParagraph"/>
              <w:numPr>
                <w:ilvl w:val="0"/>
                <w:numId w:val="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Periodic review of post-distribution monitoring process</w:t>
            </w:r>
          </w:p>
          <w:p w:rsidR="0012001E" w:rsidRPr="00CE3123" w:rsidRDefault="00033F95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Quarterly, semi-annual</w:t>
            </w:r>
            <w:r w:rsidR="001603C1">
              <w:rPr>
                <w:rFonts w:eastAsia="Times New Roman" w:cs="Arial"/>
                <w:sz w:val="20"/>
                <w:szCs w:val="20"/>
              </w:rPr>
              <w:t>,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and annual reporting</w:t>
            </w:r>
            <w:r w:rsidR="00F174B0" w:rsidRPr="00CE312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2001E" w:rsidRPr="00CE3123">
              <w:rPr>
                <w:rFonts w:eastAsia="Times New Roman" w:cs="Arial"/>
                <w:sz w:val="20"/>
                <w:szCs w:val="20"/>
              </w:rPr>
              <w:t xml:space="preserve">to </w:t>
            </w:r>
            <w:r w:rsidR="00F174B0" w:rsidRPr="00CE3123">
              <w:rPr>
                <w:rFonts w:eastAsia="Calibri" w:cs="Times New Roman"/>
                <w:sz w:val="20"/>
                <w:szCs w:val="20"/>
              </w:rPr>
              <w:t xml:space="preserve">USAID and USDA </w:t>
            </w:r>
            <w:r w:rsidR="002D63B7" w:rsidRPr="00CE3123">
              <w:rPr>
                <w:rFonts w:eastAsia="Calibri" w:cs="Times New Roman"/>
                <w:sz w:val="20"/>
                <w:szCs w:val="20"/>
              </w:rPr>
              <w:t>(</w:t>
            </w:r>
            <w:r w:rsidR="00F174B0" w:rsidRPr="00CE3123">
              <w:rPr>
                <w:rFonts w:eastAsia="Calibri" w:cs="Times New Roman"/>
                <w:sz w:val="20"/>
                <w:szCs w:val="20"/>
              </w:rPr>
              <w:t xml:space="preserve">Commodity Status Report, Recipient Status Report, Damaged and Misused Commodity Report, Loss Status Report, and </w:t>
            </w:r>
            <w:r w:rsidR="002D63B7" w:rsidRPr="00CE3123">
              <w:rPr>
                <w:rFonts w:eastAsia="Calibri" w:cs="Times New Roman"/>
                <w:sz w:val="20"/>
                <w:szCs w:val="20"/>
              </w:rPr>
              <w:t>PREP</w:t>
            </w:r>
            <w:r w:rsidR="00F174B0" w:rsidRPr="00CE3123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33F95" w:rsidRPr="00CE3123" w:rsidTr="00CE3123"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033F95" w:rsidRPr="00CE3123" w:rsidRDefault="00033F95" w:rsidP="00755D1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t xml:space="preserve">Procurement 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033F95" w:rsidRPr="00CE3123" w:rsidRDefault="00033F95" w:rsidP="00CE3123">
            <w:pPr>
              <w:numPr>
                <w:ilvl w:val="0"/>
                <w:numId w:val="2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Coordination with suppliers</w:t>
            </w:r>
          </w:p>
          <w:p w:rsidR="00033F95" w:rsidRPr="00CE3123" w:rsidRDefault="009F04AD" w:rsidP="009F04AD">
            <w:pPr>
              <w:numPr>
                <w:ilvl w:val="0"/>
                <w:numId w:val="2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Tendering and c</w:t>
            </w:r>
            <w:r w:rsidR="00033F95" w:rsidRPr="00CE3123">
              <w:rPr>
                <w:rFonts w:eastAsia="Times New Roman" w:cs="Arial"/>
                <w:sz w:val="20"/>
                <w:szCs w:val="20"/>
              </w:rPr>
              <w:t xml:space="preserve">ontracting service providers </w:t>
            </w:r>
            <w:r w:rsidR="000C334A" w:rsidRPr="00CE3123">
              <w:rPr>
                <w:rFonts w:eastAsia="Times New Roman" w:cs="Arial"/>
                <w:sz w:val="20"/>
                <w:szCs w:val="20"/>
              </w:rPr>
              <w:t>(</w:t>
            </w:r>
            <w:r w:rsidR="00F410C9" w:rsidRPr="00CE3123">
              <w:rPr>
                <w:rFonts w:eastAsia="Calibri" w:cs="Times New Roman"/>
                <w:sz w:val="20"/>
                <w:szCs w:val="20"/>
              </w:rPr>
              <w:t xml:space="preserve">clearing &amp; forwarding agent, surveyor, </w:t>
            </w:r>
            <w:r w:rsidR="000C334A" w:rsidRPr="00CE3123">
              <w:rPr>
                <w:rFonts w:eastAsia="Calibri" w:cs="Times New Roman"/>
                <w:sz w:val="20"/>
                <w:szCs w:val="20"/>
              </w:rPr>
              <w:t xml:space="preserve">security company, transporter, labor contractor, </w:t>
            </w:r>
            <w:r>
              <w:rPr>
                <w:rFonts w:eastAsia="Calibri" w:cs="Times New Roman"/>
                <w:sz w:val="20"/>
                <w:szCs w:val="20"/>
              </w:rPr>
              <w:t xml:space="preserve">warehouse owners, </w:t>
            </w:r>
            <w:r w:rsidR="001603C1">
              <w:rPr>
                <w:rFonts w:eastAsia="Calibri" w:cs="Times New Roman"/>
                <w:sz w:val="20"/>
                <w:szCs w:val="20"/>
              </w:rPr>
              <w:t xml:space="preserve">and </w:t>
            </w:r>
            <w:r w:rsidR="00F410C9" w:rsidRPr="00CE3123">
              <w:rPr>
                <w:rFonts w:eastAsia="Calibri" w:cs="Times New Roman"/>
                <w:sz w:val="20"/>
                <w:szCs w:val="20"/>
              </w:rPr>
              <w:t>fumigation and pest control providers</w:t>
            </w:r>
            <w:r w:rsidR="000C334A" w:rsidRPr="00CE3123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9F04AD" w:rsidRPr="00CE3123" w:rsidTr="00CE3123"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9F04AD" w:rsidRPr="00CE3123" w:rsidRDefault="009F04AD" w:rsidP="00755D1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Finance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9F04AD" w:rsidRDefault="009F04AD" w:rsidP="00CE3123">
            <w:pPr>
              <w:numPr>
                <w:ilvl w:val="0"/>
                <w:numId w:val="2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Payment to casual laborers and service providers</w:t>
            </w:r>
          </w:p>
          <w:p w:rsidR="009F04AD" w:rsidRPr="00CE3123" w:rsidRDefault="009F04AD" w:rsidP="00CE3123">
            <w:pPr>
              <w:numPr>
                <w:ilvl w:val="0"/>
                <w:numId w:val="2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Commodity accounting</w:t>
            </w:r>
          </w:p>
        </w:tc>
      </w:tr>
      <w:tr w:rsidR="00033F95" w:rsidRPr="00CE3123" w:rsidTr="00CE3123"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033F95" w:rsidRPr="00CE3123" w:rsidRDefault="0006775D" w:rsidP="00755D1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t>Commodity</w:t>
            </w:r>
            <w:r w:rsidR="00033F95" w:rsidRPr="00CE312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33F95" w:rsidRPr="00CE3123">
              <w:rPr>
                <w:rFonts w:eastAsia="Times New Roman" w:cs="Arial"/>
                <w:b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766004" w:rsidRPr="00CE3123" w:rsidRDefault="00766004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lastRenderedPageBreak/>
              <w:t xml:space="preserve">Logistics network design </w:t>
            </w:r>
          </w:p>
          <w:p w:rsidR="00766004" w:rsidRPr="00CE3123" w:rsidRDefault="00766004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lastRenderedPageBreak/>
              <w:t xml:space="preserve">Systems development (including staff safety, commodity accounting, warehouse control, </w:t>
            </w:r>
            <w:r w:rsidR="00E90FF2" w:rsidRPr="00CE3123">
              <w:rPr>
                <w:rFonts w:eastAsia="Calibri" w:cs="Times New Roman"/>
                <w:sz w:val="20"/>
                <w:szCs w:val="20"/>
              </w:rPr>
              <w:t>recipient</w:t>
            </w:r>
            <w:r w:rsidRPr="00CE3123">
              <w:rPr>
                <w:rFonts w:eastAsia="Calibri" w:cs="Times New Roman"/>
                <w:sz w:val="20"/>
                <w:szCs w:val="20"/>
              </w:rPr>
              <w:t xml:space="preserve"> tracking, distribution, reporting, and software applications) </w:t>
            </w:r>
          </w:p>
          <w:p w:rsidR="00222B02" w:rsidRPr="00CE3123" w:rsidRDefault="00222B02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Overall coordination of transport, storage, distribution</w:t>
            </w:r>
            <w:r w:rsidR="00EB1493">
              <w:rPr>
                <w:rFonts w:eastAsia="Calibri" w:cs="Times New Roman"/>
                <w:sz w:val="20"/>
                <w:szCs w:val="20"/>
              </w:rPr>
              <w:t>,</w:t>
            </w:r>
            <w:r w:rsidRPr="00CE3123">
              <w:rPr>
                <w:rFonts w:eastAsia="Calibri" w:cs="Times New Roman"/>
                <w:sz w:val="20"/>
                <w:szCs w:val="20"/>
              </w:rPr>
              <w:t xml:space="preserve"> and reporting requirements</w:t>
            </w:r>
          </w:p>
          <w:p w:rsidR="00766004" w:rsidRPr="00CE3123" w:rsidRDefault="00222B02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Determination of c</w:t>
            </w:r>
            <w:r w:rsidR="00766004" w:rsidRPr="00CE3123">
              <w:rPr>
                <w:rFonts w:eastAsia="Calibri" w:cs="Times New Roman"/>
                <w:sz w:val="20"/>
                <w:szCs w:val="20"/>
              </w:rPr>
              <w:t xml:space="preserve">ommodity management and distribution staffing requirements </w:t>
            </w:r>
          </w:p>
          <w:p w:rsidR="00766004" w:rsidRPr="00CE3123" w:rsidRDefault="00766004" w:rsidP="00CE3123">
            <w:pPr>
              <w:numPr>
                <w:ilvl w:val="0"/>
                <w:numId w:val="3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 xml:space="preserve">Terms of References, </w:t>
            </w:r>
            <w:r w:rsidR="00EB1493">
              <w:rPr>
                <w:rFonts w:eastAsia="Calibri" w:cs="Times New Roman"/>
                <w:sz w:val="20"/>
                <w:szCs w:val="20"/>
              </w:rPr>
              <w:t xml:space="preserve">and </w:t>
            </w:r>
            <w:r w:rsidRPr="00CE3123">
              <w:rPr>
                <w:rFonts w:eastAsia="Calibri" w:cs="Times New Roman"/>
                <w:sz w:val="20"/>
                <w:szCs w:val="20"/>
              </w:rPr>
              <w:t xml:space="preserve">coordination and performance monitoring of service providers (such as </w:t>
            </w:r>
            <w:r w:rsidR="003B3554" w:rsidRPr="00CE3123">
              <w:rPr>
                <w:rFonts w:eastAsia="Calibri" w:cs="Times New Roman"/>
                <w:sz w:val="20"/>
                <w:szCs w:val="20"/>
              </w:rPr>
              <w:t xml:space="preserve">clearing &amp; forwarding agent, surveyor, security company, transporter, labor contractor, </w:t>
            </w:r>
            <w:r w:rsidR="00EB1493">
              <w:rPr>
                <w:rFonts w:eastAsia="Calibri" w:cs="Times New Roman"/>
                <w:sz w:val="20"/>
                <w:szCs w:val="20"/>
              </w:rPr>
              <w:t xml:space="preserve">and </w:t>
            </w:r>
            <w:r w:rsidR="003B3554" w:rsidRPr="00CE3123">
              <w:rPr>
                <w:rFonts w:eastAsia="Calibri" w:cs="Times New Roman"/>
                <w:sz w:val="20"/>
                <w:szCs w:val="20"/>
              </w:rPr>
              <w:t>fumigation and pest control providers</w:t>
            </w:r>
            <w:r w:rsidRPr="00CE3123">
              <w:rPr>
                <w:rFonts w:eastAsia="Calibri" w:cs="Times New Roman"/>
                <w:sz w:val="20"/>
                <w:szCs w:val="20"/>
              </w:rPr>
              <w:t xml:space="preserve">) </w:t>
            </w:r>
          </w:p>
          <w:p w:rsidR="00766004" w:rsidRPr="00CE3123" w:rsidRDefault="00766004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 xml:space="preserve">Warehouse selection and establishment </w:t>
            </w:r>
          </w:p>
          <w:p w:rsidR="00766004" w:rsidRPr="00CE3123" w:rsidRDefault="00766004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Staff training in warehouse management and donor regulations</w:t>
            </w:r>
          </w:p>
          <w:p w:rsidR="00766004" w:rsidRPr="00CE3123" w:rsidRDefault="00766004" w:rsidP="00CE3123">
            <w:pPr>
              <w:numPr>
                <w:ilvl w:val="0"/>
                <w:numId w:val="21"/>
              </w:numPr>
              <w:spacing w:before="60" w:after="60" w:line="252" w:lineRule="auto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Supervision of warehouse and distribution staff, processes</w:t>
            </w:r>
            <w:r w:rsidR="00EB1493">
              <w:rPr>
                <w:rFonts w:eastAsia="Calibri" w:cs="Times New Roman"/>
                <w:sz w:val="20"/>
                <w:szCs w:val="20"/>
              </w:rPr>
              <w:t>,</w:t>
            </w:r>
            <w:r w:rsidRPr="00CE3123">
              <w:rPr>
                <w:rFonts w:eastAsia="Calibri" w:cs="Times New Roman"/>
                <w:sz w:val="20"/>
                <w:szCs w:val="20"/>
              </w:rPr>
              <w:t xml:space="preserve"> and systems </w:t>
            </w:r>
          </w:p>
          <w:p w:rsidR="00766004" w:rsidRPr="00CE3123" w:rsidRDefault="00766004" w:rsidP="00CE3123">
            <w:pPr>
              <w:pStyle w:val="ListParagraph"/>
              <w:numPr>
                <w:ilvl w:val="0"/>
                <w:numId w:val="2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Regular warehouse inspections (including safety compliance) and follow up on recommendations/findings</w:t>
            </w:r>
          </w:p>
          <w:p w:rsidR="00766004" w:rsidRPr="00CE3123" w:rsidRDefault="00766004" w:rsidP="00CE3123">
            <w:pPr>
              <w:pStyle w:val="ListParagraph"/>
              <w:numPr>
                <w:ilvl w:val="0"/>
                <w:numId w:val="2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Review of loss handling and documentation</w:t>
            </w:r>
          </w:p>
          <w:p w:rsidR="00766004" w:rsidRPr="00CE3123" w:rsidRDefault="00766004" w:rsidP="00CE3123">
            <w:pPr>
              <w:pStyle w:val="ListParagraph"/>
              <w:numPr>
                <w:ilvl w:val="0"/>
                <w:numId w:val="2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Maintenance of commodity records according to donor guidelines and organization policies</w:t>
            </w:r>
          </w:p>
          <w:p w:rsidR="00766004" w:rsidRPr="00CE3123" w:rsidRDefault="00766004" w:rsidP="00CE3123">
            <w:pPr>
              <w:pStyle w:val="ListParagraph"/>
              <w:numPr>
                <w:ilvl w:val="0"/>
                <w:numId w:val="25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Processing of suspect </w:t>
            </w:r>
            <w:r w:rsidR="00EB1493">
              <w:rPr>
                <w:rFonts w:eastAsia="Times New Roman" w:cs="Arial"/>
                <w:sz w:val="20"/>
                <w:szCs w:val="20"/>
              </w:rPr>
              <w:t xml:space="preserve">commodities </w:t>
            </w:r>
            <w:r w:rsidRPr="00CE3123">
              <w:rPr>
                <w:rFonts w:eastAsia="Times New Roman" w:cs="Arial"/>
                <w:sz w:val="20"/>
                <w:szCs w:val="20"/>
              </w:rPr>
              <w:t>and d</w:t>
            </w:r>
            <w:r w:rsidRPr="00CE3123">
              <w:rPr>
                <w:rFonts w:eastAsia="Calibri" w:cs="Times New Roman"/>
                <w:sz w:val="20"/>
                <w:szCs w:val="20"/>
              </w:rPr>
              <w:t>isposal of unfit commodities</w:t>
            </w:r>
          </w:p>
          <w:p w:rsidR="00766004" w:rsidRPr="00CE3123" w:rsidRDefault="00766004" w:rsidP="00CE3123">
            <w:pPr>
              <w:pStyle w:val="ListParagraph"/>
              <w:numPr>
                <w:ilvl w:val="0"/>
                <w:numId w:val="25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Selection of final distribution points</w:t>
            </w:r>
            <w:r w:rsidR="00F410C9" w:rsidRPr="00CE3123">
              <w:rPr>
                <w:rFonts w:eastAsia="Calibri" w:cs="Times New Roman"/>
                <w:sz w:val="20"/>
                <w:szCs w:val="20"/>
              </w:rPr>
              <w:t xml:space="preserve"> (with program management)</w:t>
            </w:r>
          </w:p>
          <w:p w:rsidR="00142C8E" w:rsidRPr="00CE3123" w:rsidRDefault="00142C8E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Determin</w:t>
            </w:r>
            <w:r w:rsidR="00222B02" w:rsidRPr="00CE3123">
              <w:rPr>
                <w:rFonts w:eastAsia="Calibri" w:cs="Times New Roman"/>
                <w:sz w:val="20"/>
                <w:szCs w:val="20"/>
              </w:rPr>
              <w:t xml:space="preserve">ation of </w:t>
            </w:r>
            <w:r w:rsidRPr="00CE3123">
              <w:rPr>
                <w:rFonts w:eastAsia="Calibri" w:cs="Times New Roman"/>
                <w:sz w:val="20"/>
                <w:szCs w:val="20"/>
              </w:rPr>
              <w:t>transport needs for commodity movement</w:t>
            </w:r>
          </w:p>
          <w:p w:rsidR="00766004" w:rsidRPr="00CE3123" w:rsidRDefault="00766004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Pipeline analysis </w:t>
            </w:r>
            <w:r w:rsidRPr="00CE3123">
              <w:rPr>
                <w:rFonts w:eastAsia="Calibri" w:cs="Times New Roman"/>
                <w:sz w:val="20"/>
                <w:szCs w:val="20"/>
              </w:rPr>
              <w:t>and forecasting</w:t>
            </w:r>
          </w:p>
          <w:p w:rsidR="00766004" w:rsidRPr="00CE3123" w:rsidRDefault="00766004" w:rsidP="00CE3123">
            <w:pPr>
              <w:numPr>
                <w:ilvl w:val="0"/>
                <w:numId w:val="1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 xml:space="preserve">Monitoring of operational environment and </w:t>
            </w:r>
            <w:r w:rsidRPr="00CE3123">
              <w:rPr>
                <w:rFonts w:eastAsia="Times New Roman" w:cs="Arial"/>
                <w:sz w:val="20"/>
                <w:szCs w:val="20"/>
              </w:rPr>
              <w:t>preparation of call forward requests</w:t>
            </w:r>
          </w:p>
          <w:p w:rsidR="002D63B7" w:rsidRPr="00CE3123" w:rsidRDefault="00F174B0" w:rsidP="00CE3123">
            <w:pPr>
              <w:pStyle w:val="ListParagraph"/>
              <w:numPr>
                <w:ilvl w:val="0"/>
                <w:numId w:val="27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 xml:space="preserve">Contribute to </w:t>
            </w:r>
            <w:r w:rsidR="00082C24" w:rsidRPr="00CE3123">
              <w:rPr>
                <w:rFonts w:eastAsia="Times New Roman" w:cs="Arial"/>
                <w:sz w:val="20"/>
                <w:szCs w:val="20"/>
              </w:rPr>
              <w:t>q</w:t>
            </w:r>
            <w:r w:rsidR="002D63B7" w:rsidRPr="00CE3123">
              <w:rPr>
                <w:rFonts w:eastAsia="Times New Roman" w:cs="Arial"/>
                <w:sz w:val="20"/>
                <w:szCs w:val="20"/>
              </w:rPr>
              <w:t>uarterly, semi-annual</w:t>
            </w:r>
            <w:r w:rsidR="00EB1493">
              <w:rPr>
                <w:rFonts w:eastAsia="Times New Roman" w:cs="Arial"/>
                <w:sz w:val="20"/>
                <w:szCs w:val="20"/>
              </w:rPr>
              <w:t>,</w:t>
            </w:r>
            <w:r w:rsidR="002D63B7" w:rsidRPr="00CE3123">
              <w:rPr>
                <w:rFonts w:eastAsia="Times New Roman" w:cs="Arial"/>
                <w:sz w:val="20"/>
                <w:szCs w:val="20"/>
              </w:rPr>
              <w:t xml:space="preserve"> and annual reporting to </w:t>
            </w:r>
            <w:r w:rsidR="002D63B7" w:rsidRPr="00CE3123">
              <w:rPr>
                <w:rFonts w:eastAsia="Calibri" w:cs="Times New Roman"/>
                <w:sz w:val="20"/>
                <w:szCs w:val="20"/>
              </w:rPr>
              <w:t>USAID and USDA (Commodity Status Report, Recipient Status Report, Damaged and Misused Commodity Report, Loss Status Report, and PREP)</w:t>
            </w:r>
          </w:p>
          <w:p w:rsidR="00142C8E" w:rsidRPr="00CE3123" w:rsidRDefault="00142C8E" w:rsidP="00CE3123">
            <w:pPr>
              <w:pStyle w:val="ListParagraph"/>
              <w:numPr>
                <w:ilvl w:val="0"/>
                <w:numId w:val="3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 xml:space="preserve">Port </w:t>
            </w:r>
            <w:r w:rsidR="00EB1493">
              <w:rPr>
                <w:rFonts w:eastAsia="Calibri" w:cs="Times New Roman"/>
                <w:sz w:val="20"/>
                <w:szCs w:val="20"/>
              </w:rPr>
              <w:t>o</w:t>
            </w:r>
            <w:r w:rsidRPr="00CE3123">
              <w:rPr>
                <w:rFonts w:eastAsia="Calibri" w:cs="Times New Roman"/>
                <w:sz w:val="20"/>
                <w:szCs w:val="20"/>
              </w:rPr>
              <w:t>perations oversight (if applicable)</w:t>
            </w:r>
          </w:p>
          <w:p w:rsidR="00F174B0" w:rsidRPr="00CE3123" w:rsidRDefault="00033F95" w:rsidP="00EB1493">
            <w:pPr>
              <w:pStyle w:val="ListParagraph"/>
              <w:numPr>
                <w:ilvl w:val="0"/>
                <w:numId w:val="30"/>
              </w:numPr>
              <w:spacing w:before="60" w:after="60" w:line="252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Liaison </w:t>
            </w:r>
            <w:r w:rsidR="00455F31" w:rsidRPr="00CE3123">
              <w:rPr>
                <w:rFonts w:eastAsia="Times New Roman" w:cs="Arial"/>
                <w:sz w:val="20"/>
                <w:szCs w:val="20"/>
              </w:rPr>
              <w:t>with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port authorities, surveyor, clearing and forwarding agent, shipping agent, </w:t>
            </w:r>
            <w:r w:rsidR="00EB1493">
              <w:rPr>
                <w:rFonts w:eastAsia="Times New Roman" w:cs="Arial"/>
                <w:sz w:val="20"/>
                <w:szCs w:val="20"/>
              </w:rPr>
              <w:t xml:space="preserve">and </w:t>
            </w:r>
            <w:r w:rsidRPr="00CE3123">
              <w:rPr>
                <w:rFonts w:eastAsia="Times New Roman" w:cs="Arial"/>
                <w:sz w:val="20"/>
                <w:szCs w:val="20"/>
              </w:rPr>
              <w:t>stevedores</w:t>
            </w:r>
          </w:p>
          <w:p w:rsidR="00F174B0" w:rsidRPr="00CE3123" w:rsidRDefault="00F174B0" w:rsidP="00EB1493">
            <w:pPr>
              <w:pStyle w:val="ListParagraph"/>
              <w:numPr>
                <w:ilvl w:val="0"/>
                <w:numId w:val="30"/>
              </w:numPr>
              <w:spacing w:before="60" w:after="60" w:line="252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Customs clearance for imported commodity</w:t>
            </w:r>
          </w:p>
          <w:p w:rsidR="00033F95" w:rsidRPr="00CE3123" w:rsidRDefault="00033F95" w:rsidP="00EB1493">
            <w:pPr>
              <w:pStyle w:val="ListParagraph"/>
              <w:numPr>
                <w:ilvl w:val="0"/>
                <w:numId w:val="30"/>
              </w:numPr>
              <w:spacing w:before="60" w:after="60" w:line="252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Documentation and follow-up </w:t>
            </w:r>
            <w:r w:rsidR="00F174B0" w:rsidRPr="00CE3123">
              <w:rPr>
                <w:rFonts w:eastAsia="Times New Roman" w:cs="Arial"/>
                <w:sz w:val="20"/>
                <w:szCs w:val="20"/>
              </w:rPr>
              <w:t>on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marine and port loss</w:t>
            </w:r>
            <w:r w:rsidR="005068ED" w:rsidRPr="00CE3123">
              <w:rPr>
                <w:rFonts w:eastAsia="Times New Roman" w:cs="Arial"/>
                <w:sz w:val="20"/>
                <w:szCs w:val="20"/>
              </w:rPr>
              <w:t xml:space="preserve"> claims</w:t>
            </w:r>
          </w:p>
          <w:p w:rsidR="00033F95" w:rsidRPr="00CE3123" w:rsidRDefault="00F174B0" w:rsidP="00EB1493">
            <w:pPr>
              <w:pStyle w:val="ListParagraph"/>
              <w:numPr>
                <w:ilvl w:val="0"/>
                <w:numId w:val="30"/>
              </w:numPr>
              <w:spacing w:before="60" w:after="60" w:line="252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Discharge and d</w:t>
            </w:r>
            <w:r w:rsidR="00033F95" w:rsidRPr="00CE3123">
              <w:rPr>
                <w:rFonts w:eastAsia="Times New Roman" w:cs="Arial"/>
                <w:sz w:val="20"/>
                <w:szCs w:val="20"/>
              </w:rPr>
              <w:t>ispatch planning</w:t>
            </w:r>
          </w:p>
          <w:p w:rsidR="00033F95" w:rsidRPr="00CE3123" w:rsidRDefault="00033F95" w:rsidP="00EB1493">
            <w:pPr>
              <w:pStyle w:val="ListParagraph"/>
              <w:numPr>
                <w:ilvl w:val="0"/>
                <w:numId w:val="30"/>
              </w:numPr>
              <w:spacing w:before="60" w:after="60" w:line="252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Maintenance of shipment ledgers and files</w:t>
            </w:r>
          </w:p>
          <w:p w:rsidR="005068ED" w:rsidRPr="00CE3123" w:rsidRDefault="005068ED" w:rsidP="00CE3123">
            <w:pPr>
              <w:pStyle w:val="ListParagraph"/>
              <w:numPr>
                <w:ilvl w:val="0"/>
                <w:numId w:val="24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Monetization oversight (if applicable)</w:t>
            </w:r>
          </w:p>
          <w:p w:rsidR="005068ED" w:rsidRPr="00CE3123" w:rsidRDefault="005068ED" w:rsidP="00EB1493">
            <w:pPr>
              <w:pStyle w:val="ListParagraph"/>
              <w:numPr>
                <w:ilvl w:val="0"/>
                <w:numId w:val="3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Interpretation of market survey reports</w:t>
            </w:r>
          </w:p>
          <w:p w:rsidR="005068ED" w:rsidRPr="00CE3123" w:rsidRDefault="005068ED" w:rsidP="00EB1493">
            <w:pPr>
              <w:pStyle w:val="ListParagraph"/>
              <w:numPr>
                <w:ilvl w:val="0"/>
                <w:numId w:val="3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Monitoring of local market activity to forecast sales and price information</w:t>
            </w:r>
          </w:p>
          <w:p w:rsidR="005068ED" w:rsidRPr="00CE3123" w:rsidRDefault="005068ED" w:rsidP="00EB1493">
            <w:pPr>
              <w:pStyle w:val="ListParagraph"/>
              <w:numPr>
                <w:ilvl w:val="0"/>
                <w:numId w:val="3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Supervision of importation, warehousing, accounting, transport, and dispatch of monetized commodities</w:t>
            </w:r>
          </w:p>
          <w:p w:rsidR="005068ED" w:rsidRPr="00CE3123" w:rsidRDefault="005068ED" w:rsidP="00EB1493">
            <w:pPr>
              <w:pStyle w:val="ListParagraph"/>
              <w:numPr>
                <w:ilvl w:val="0"/>
                <w:numId w:val="3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Commodity tender sales</w:t>
            </w:r>
          </w:p>
          <w:p w:rsidR="0006775D" w:rsidRPr="00CE3123" w:rsidRDefault="005068ED" w:rsidP="00EB1493">
            <w:pPr>
              <w:pStyle w:val="ListParagraph"/>
              <w:numPr>
                <w:ilvl w:val="0"/>
                <w:numId w:val="31"/>
              </w:numPr>
              <w:spacing w:before="60" w:after="60" w:line="252" w:lineRule="auto"/>
              <w:contextualSpacing w:val="0"/>
              <w:rPr>
                <w:rFonts w:eastAsia="Calibri" w:cs="Times New Roman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Compliance of the Sales Agreements</w:t>
            </w:r>
          </w:p>
          <w:p w:rsidR="005068ED" w:rsidRPr="00CE3123" w:rsidRDefault="005068ED" w:rsidP="00CE3123">
            <w:pPr>
              <w:numPr>
                <w:ilvl w:val="0"/>
                <w:numId w:val="3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Commodity close-out plan</w:t>
            </w:r>
          </w:p>
          <w:p w:rsidR="000C334A" w:rsidRPr="00CE3123" w:rsidRDefault="000C334A" w:rsidP="00CE3123">
            <w:pPr>
              <w:numPr>
                <w:ilvl w:val="0"/>
                <w:numId w:val="3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Documentation and disposal of residual inventory</w:t>
            </w:r>
          </w:p>
        </w:tc>
      </w:tr>
      <w:tr w:rsidR="003B3554" w:rsidRPr="00CE3123" w:rsidTr="00CE3123">
        <w:trPr>
          <w:trHeight w:val="4683"/>
        </w:trPr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B3554" w:rsidRPr="00CE3123" w:rsidRDefault="003B3554" w:rsidP="009F04A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Warehouse Management 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Overall responsibility for physical custody of commodity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Coordination of transport for commodity receipt and dispatch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Calibri" w:cs="Times New Roman"/>
                <w:sz w:val="20"/>
                <w:szCs w:val="20"/>
              </w:rPr>
              <w:t>Determination of casual labor requirements; hiring and training individuals</w:t>
            </w:r>
          </w:p>
          <w:p w:rsidR="003B3554" w:rsidRPr="00CE3123" w:rsidRDefault="00450554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bCs/>
                <w:sz w:val="20"/>
                <w:szCs w:val="20"/>
              </w:rPr>
              <w:t xml:space="preserve">Tally quantity and verify quality of commodity received </w:t>
            </w:r>
            <w:r w:rsidR="00EB1493">
              <w:rPr>
                <w:rFonts w:eastAsia="Times New Roman" w:cs="Arial"/>
                <w:bCs/>
                <w:sz w:val="20"/>
                <w:szCs w:val="20"/>
              </w:rPr>
              <w:t>and</w:t>
            </w:r>
            <w:r w:rsidRPr="00CE3123">
              <w:rPr>
                <w:rFonts w:eastAsia="Times New Roman" w:cs="Arial"/>
                <w:bCs/>
                <w:sz w:val="20"/>
                <w:szCs w:val="20"/>
              </w:rPr>
              <w:t xml:space="preserve"> dispatched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bCs/>
                <w:sz w:val="20"/>
                <w:szCs w:val="20"/>
              </w:rPr>
              <w:t xml:space="preserve">Documentation of all commodity movement and </w:t>
            </w:r>
            <w:r w:rsidRPr="00CE3123">
              <w:rPr>
                <w:rFonts w:eastAsia="Times New Roman" w:cs="Arial"/>
                <w:sz w:val="20"/>
                <w:szCs w:val="20"/>
              </w:rPr>
              <w:t>warehouse</w:t>
            </w:r>
            <w:r w:rsidRPr="00CE3123">
              <w:rPr>
                <w:rFonts w:eastAsia="Times New Roman" w:cs="Arial"/>
                <w:bCs/>
                <w:sz w:val="20"/>
                <w:szCs w:val="20"/>
              </w:rPr>
              <w:t xml:space="preserve"> losses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Maintenance of warehouse inventory ledgers</w:t>
            </w:r>
            <w:r w:rsidR="00450554" w:rsidRPr="00CE3123">
              <w:rPr>
                <w:rFonts w:eastAsia="Times New Roman" w:cs="Arial"/>
                <w:sz w:val="20"/>
                <w:szCs w:val="20"/>
              </w:rPr>
              <w:t xml:space="preserve"> and stack cards</w:t>
            </w:r>
          </w:p>
          <w:p w:rsidR="00975D70" w:rsidRPr="00CE3123" w:rsidRDefault="00975D70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Good stock management practices (proper stacking of commodity, FIFO, </w:t>
            </w:r>
            <w:r w:rsidR="00EB1493">
              <w:rPr>
                <w:rFonts w:eastAsia="Times New Roman" w:cs="Arial"/>
                <w:sz w:val="20"/>
                <w:szCs w:val="20"/>
              </w:rPr>
              <w:t xml:space="preserve">and </w:t>
            </w:r>
            <w:r w:rsidRPr="00CE3123">
              <w:rPr>
                <w:rFonts w:eastAsia="Times New Roman" w:cs="Arial"/>
                <w:sz w:val="20"/>
                <w:szCs w:val="20"/>
              </w:rPr>
              <w:t>stock rotation)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Supervision </w:t>
            </w:r>
            <w:r w:rsidR="00455285" w:rsidRPr="00CE3123">
              <w:rPr>
                <w:rFonts w:eastAsia="Times New Roman" w:cs="Arial"/>
                <w:sz w:val="20"/>
                <w:szCs w:val="20"/>
              </w:rPr>
              <w:t>and safety of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E68CD" w:rsidRPr="00CE3123">
              <w:rPr>
                <w:rFonts w:eastAsia="Times New Roman" w:cs="Arial"/>
                <w:sz w:val="20"/>
                <w:szCs w:val="20"/>
              </w:rPr>
              <w:t>warehouse staff</w:t>
            </w:r>
            <w:r w:rsidRPr="00CE3123">
              <w:rPr>
                <w:rFonts w:eastAsia="Times New Roman" w:cs="Arial"/>
                <w:sz w:val="20"/>
                <w:szCs w:val="20"/>
              </w:rPr>
              <w:t>, security staff, and casual laborers</w:t>
            </w:r>
          </w:p>
          <w:p w:rsidR="007E68CD" w:rsidRPr="00CE3123" w:rsidRDefault="007E68CD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Regular warehouse inspections</w:t>
            </w:r>
            <w:r w:rsidR="00975D70" w:rsidRPr="00CE3123">
              <w:rPr>
                <w:rFonts w:eastAsia="Times New Roman" w:cs="Arial"/>
                <w:sz w:val="20"/>
                <w:szCs w:val="20"/>
              </w:rPr>
              <w:t xml:space="preserve"> for cleanliness and safety</w:t>
            </w:r>
          </w:p>
          <w:p w:rsidR="00975D70" w:rsidRPr="00CE3123" w:rsidRDefault="00975D70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Regular</w:t>
            </w:r>
            <w:r w:rsidR="003B3554" w:rsidRPr="00CE3123">
              <w:rPr>
                <w:rFonts w:eastAsia="Times New Roman" w:cs="Arial"/>
                <w:sz w:val="20"/>
                <w:szCs w:val="20"/>
              </w:rPr>
              <w:t xml:space="preserve"> stack inspections</w:t>
            </w:r>
          </w:p>
          <w:p w:rsidR="00975D70" w:rsidRPr="00CE3123" w:rsidRDefault="00975D70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Control of insect and rodent infestations</w:t>
            </w:r>
          </w:p>
          <w:p w:rsidR="003B3554" w:rsidRPr="00CE3123" w:rsidRDefault="00975D70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Regular</w:t>
            </w:r>
            <w:r w:rsidR="003B3554" w:rsidRPr="00CE3123">
              <w:rPr>
                <w:rFonts w:eastAsia="Times New Roman" w:cs="Arial"/>
                <w:sz w:val="20"/>
                <w:szCs w:val="20"/>
              </w:rPr>
              <w:t xml:space="preserve"> physical counts</w:t>
            </w:r>
          </w:p>
          <w:p w:rsidR="003B3554" w:rsidRPr="00CE3123" w:rsidRDefault="003B3554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Reconciliation of ledgers, physical counts, and source documents</w:t>
            </w:r>
          </w:p>
          <w:p w:rsidR="003B3554" w:rsidRPr="00CE3123" w:rsidRDefault="003B3554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Monthly reporting</w:t>
            </w:r>
          </w:p>
          <w:p w:rsidR="007E68CD" w:rsidRPr="00CE3123" w:rsidRDefault="007E68CD" w:rsidP="00CE3123">
            <w:pPr>
              <w:numPr>
                <w:ilvl w:val="0"/>
                <w:numId w:val="5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Requisition, maintenance</w:t>
            </w:r>
            <w:r w:rsidR="00EB1493">
              <w:rPr>
                <w:rFonts w:eastAsia="Times New Roman" w:cs="Arial"/>
                <w:sz w:val="20"/>
                <w:szCs w:val="20"/>
              </w:rPr>
              <w:t>,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and servicing of warehouse equipment</w:t>
            </w:r>
          </w:p>
        </w:tc>
      </w:tr>
      <w:tr w:rsidR="00732D09" w:rsidRPr="00CE3123" w:rsidTr="00CE312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732D09" w:rsidRPr="00CE3123" w:rsidRDefault="00D7245B" w:rsidP="00EB1493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Contract</w:t>
            </w:r>
            <w:r w:rsidR="00732D09" w:rsidRPr="00CE312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EB1493">
              <w:rPr>
                <w:rFonts w:eastAsia="Times New Roman" w:cs="Arial"/>
                <w:b/>
                <w:sz w:val="20"/>
                <w:szCs w:val="20"/>
              </w:rPr>
              <w:t>L</w:t>
            </w:r>
            <w:r w:rsidR="00732D09" w:rsidRPr="00CE3123">
              <w:rPr>
                <w:rFonts w:eastAsia="Times New Roman" w:cs="Arial"/>
                <w:b/>
                <w:sz w:val="20"/>
                <w:szCs w:val="20"/>
              </w:rPr>
              <w:t>aborers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732D09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Loading, unloading, stacking</w:t>
            </w:r>
            <w:r w:rsidR="00EB1493">
              <w:rPr>
                <w:rFonts w:eastAsia="Times New Roman" w:cs="Arial"/>
                <w:sz w:val="20"/>
                <w:szCs w:val="20"/>
              </w:rPr>
              <w:t>,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and movement of commodity</w:t>
            </w:r>
          </w:p>
          <w:p w:rsidR="00732D09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Minor repair and reconstitution of damaged </w:t>
            </w:r>
            <w:r w:rsidR="007E68CD" w:rsidRPr="00CE3123">
              <w:rPr>
                <w:rFonts w:eastAsia="Times New Roman" w:cs="Arial"/>
                <w:sz w:val="20"/>
                <w:szCs w:val="20"/>
              </w:rPr>
              <w:t>commodity bags and tins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Warehouse security</w:t>
            </w:r>
          </w:p>
        </w:tc>
      </w:tr>
      <w:tr w:rsidR="00D7245B" w:rsidRPr="00CE3123" w:rsidTr="001A2A6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rPr>
          <w:trHeight w:val="4306"/>
        </w:trPr>
        <w:tc>
          <w:tcPr>
            <w:tcW w:w="1638" w:type="dxa"/>
            <w:tcBorders>
              <w:top w:val="single" w:sz="8" w:space="0" w:color="7C8029"/>
              <w:left w:val="nil"/>
              <w:right w:val="single" w:sz="8" w:space="0" w:color="7C8029"/>
            </w:tcBorders>
          </w:tcPr>
          <w:p w:rsidR="00D7245B" w:rsidRPr="00CE3123" w:rsidRDefault="00D7245B" w:rsidP="00732D0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t>Distribution Management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right w:val="nil"/>
            </w:tcBorders>
          </w:tcPr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Master Recipient List 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list validation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Organization and undertaking of distributions to recipients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Management and control of distribution teams and sites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Coordination with recipient community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site security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Documentation of transport or on-site losses</w:t>
            </w:r>
          </w:p>
          <w:p w:rsidR="00D7245B" w:rsidRPr="00CE3123" w:rsidRDefault="00D7245B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reports</w:t>
            </w:r>
          </w:p>
          <w:p w:rsidR="00D7245B" w:rsidRPr="00CE3123" w:rsidRDefault="00D7245B" w:rsidP="002F762A">
            <w:pPr>
              <w:numPr>
                <w:ilvl w:val="0"/>
                <w:numId w:val="14"/>
              </w:numPr>
              <w:spacing w:before="60" w:after="60" w:line="252" w:lineRule="auto"/>
              <w:ind w:left="360"/>
              <w:rPr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>Documentation of commodity receipt at distribution site</w:t>
            </w:r>
          </w:p>
          <w:p w:rsidR="00D7245B" w:rsidRPr="00CE3123" w:rsidRDefault="00D7245B" w:rsidP="002F762A">
            <w:pPr>
              <w:numPr>
                <w:ilvl w:val="0"/>
                <w:numId w:val="14"/>
              </w:numPr>
              <w:spacing w:before="60" w:after="60" w:line="252" w:lineRule="auto"/>
              <w:ind w:left="360"/>
              <w:rPr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>Preparation of distribution site</w:t>
            </w:r>
          </w:p>
          <w:p w:rsidR="00D7245B" w:rsidRPr="00CE3123" w:rsidRDefault="00D7245B" w:rsidP="002F762A">
            <w:pPr>
              <w:numPr>
                <w:ilvl w:val="0"/>
                <w:numId w:val="14"/>
              </w:numPr>
              <w:spacing w:before="60" w:after="60" w:line="252" w:lineRule="auto"/>
              <w:ind w:left="360"/>
              <w:rPr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 xml:space="preserve">Help </w:t>
            </w:r>
            <w:r w:rsidR="00EB1493">
              <w:rPr>
                <w:sz w:val="20"/>
                <w:szCs w:val="20"/>
              </w:rPr>
              <w:t>d</w:t>
            </w:r>
            <w:r w:rsidRPr="00CE3123">
              <w:rPr>
                <w:sz w:val="20"/>
                <w:szCs w:val="20"/>
              </w:rPr>
              <w:t>esk services</w:t>
            </w:r>
          </w:p>
          <w:p w:rsidR="00D7245B" w:rsidRPr="00CE3123" w:rsidRDefault="00D7245B" w:rsidP="002F762A">
            <w:pPr>
              <w:numPr>
                <w:ilvl w:val="0"/>
                <w:numId w:val="14"/>
              </w:numPr>
              <w:spacing w:before="60" w:after="60" w:line="252" w:lineRule="auto"/>
              <w:ind w:left="360"/>
              <w:rPr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>Recording recipients upon entering and exiting distribution site</w:t>
            </w:r>
          </w:p>
          <w:p w:rsidR="00D7245B" w:rsidRPr="00CE3123" w:rsidRDefault="00D7245B" w:rsidP="002F762A">
            <w:pPr>
              <w:numPr>
                <w:ilvl w:val="0"/>
                <w:numId w:val="14"/>
              </w:numPr>
              <w:spacing w:before="60" w:after="60" w:line="252" w:lineRule="auto"/>
              <w:ind w:left="360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sz w:val="20"/>
                <w:szCs w:val="20"/>
              </w:rPr>
              <w:t>Food commodity scooping</w:t>
            </w:r>
          </w:p>
        </w:tc>
      </w:tr>
      <w:tr w:rsidR="00732D09" w:rsidRPr="00CE3123" w:rsidTr="00CE3123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1638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732D09" w:rsidRPr="00CE3123" w:rsidRDefault="00732D09" w:rsidP="00732D0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E3123">
              <w:rPr>
                <w:rFonts w:eastAsia="Times New Roman" w:cs="Arial"/>
                <w:b/>
                <w:sz w:val="20"/>
                <w:szCs w:val="20"/>
              </w:rPr>
              <w:t>Distribution Monitoring</w:t>
            </w:r>
          </w:p>
        </w:tc>
        <w:tc>
          <w:tcPr>
            <w:tcW w:w="747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732D09" w:rsidRPr="00CE3123" w:rsidRDefault="00732D09" w:rsidP="00CE3123">
            <w:pPr>
              <w:numPr>
                <w:ilvl w:val="0"/>
                <w:numId w:val="3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Maintenance of Master Recipient Lists</w:t>
            </w:r>
          </w:p>
          <w:p w:rsidR="00732D09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Verification of recipient lists</w:t>
            </w:r>
          </w:p>
          <w:p w:rsidR="00732D09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Verification of physical inventories at distribution sites</w:t>
            </w:r>
          </w:p>
          <w:p w:rsidR="00732D09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Distribution process and site storage monitoring</w:t>
            </w:r>
          </w:p>
          <w:p w:rsidR="00CD3FD4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 xml:space="preserve">Reconciliation of distribution tally </w:t>
            </w:r>
            <w:r w:rsidR="00EB1493">
              <w:rPr>
                <w:rFonts w:eastAsia="Times New Roman" w:cs="Arial"/>
                <w:sz w:val="20"/>
                <w:szCs w:val="20"/>
              </w:rPr>
              <w:t>and</w:t>
            </w:r>
            <w:r w:rsidRPr="00CE3123">
              <w:rPr>
                <w:rFonts w:eastAsia="Times New Roman" w:cs="Arial"/>
                <w:sz w:val="20"/>
                <w:szCs w:val="20"/>
              </w:rPr>
              <w:t xml:space="preserve"> receipt sheets</w:t>
            </w:r>
            <w:bookmarkStart w:id="3" w:name="_GoBack"/>
            <w:bookmarkEnd w:id="3"/>
          </w:p>
          <w:p w:rsidR="00732D09" w:rsidRPr="00CE3123" w:rsidRDefault="00732D09" w:rsidP="00CE3123">
            <w:pPr>
              <w:numPr>
                <w:ilvl w:val="0"/>
                <w:numId w:val="6"/>
              </w:numPr>
              <w:spacing w:before="60" w:after="60" w:line="252" w:lineRule="auto"/>
              <w:rPr>
                <w:rFonts w:eastAsia="Times New Roman" w:cs="Arial"/>
                <w:sz w:val="20"/>
                <w:szCs w:val="20"/>
              </w:rPr>
            </w:pPr>
            <w:r w:rsidRPr="00CE3123">
              <w:rPr>
                <w:rFonts w:eastAsia="Times New Roman" w:cs="Arial"/>
                <w:sz w:val="20"/>
                <w:szCs w:val="20"/>
              </w:rPr>
              <w:t>Post-distribution monitoring</w:t>
            </w:r>
          </w:p>
        </w:tc>
      </w:tr>
    </w:tbl>
    <w:p w:rsidR="00643ECE" w:rsidRDefault="00643ECE" w:rsidP="00755D19"/>
    <w:sectPr w:rsidR="00643ECE" w:rsidSect="0068223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BB" w:rsidRDefault="008D13BB" w:rsidP="00682233">
      <w:pPr>
        <w:spacing w:before="0" w:after="0"/>
      </w:pPr>
      <w:r>
        <w:separator/>
      </w:r>
    </w:p>
  </w:endnote>
  <w:endnote w:type="continuationSeparator" w:id="0">
    <w:p w:rsidR="008D13BB" w:rsidRDefault="008D13BB" w:rsidP="006822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62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B1B0B" w:rsidRPr="00CE3123" w:rsidRDefault="00FB1B0B" w:rsidP="00E35733">
            <w:pPr>
              <w:pStyle w:val="Footer"/>
              <w:jc w:val="center"/>
            </w:pPr>
            <w:r w:rsidRPr="00CE3123">
              <w:t xml:space="preserve">Page </w:t>
            </w:r>
            <w:r w:rsidR="0073388F" w:rsidRPr="00CE3123">
              <w:fldChar w:fldCharType="begin"/>
            </w:r>
            <w:r w:rsidRPr="00CE3123">
              <w:instrText xml:space="preserve"> PAGE </w:instrText>
            </w:r>
            <w:r w:rsidR="0073388F" w:rsidRPr="00CE3123">
              <w:fldChar w:fldCharType="separate"/>
            </w:r>
            <w:r w:rsidR="00EB1493">
              <w:rPr>
                <w:noProof/>
              </w:rPr>
              <w:t>3</w:t>
            </w:r>
            <w:r w:rsidR="0073388F" w:rsidRPr="00CE3123">
              <w:fldChar w:fldCharType="end"/>
            </w:r>
            <w:r w:rsidRPr="00CE3123">
              <w:t xml:space="preserve"> of </w:t>
            </w:r>
            <w:r w:rsidR="0073388F" w:rsidRPr="00CE3123">
              <w:fldChar w:fldCharType="begin"/>
            </w:r>
            <w:r w:rsidRPr="00CE3123">
              <w:instrText xml:space="preserve"> NUMPAGES  </w:instrText>
            </w:r>
            <w:r w:rsidR="0073388F" w:rsidRPr="00CE3123">
              <w:fldChar w:fldCharType="separate"/>
            </w:r>
            <w:r w:rsidR="00EB1493">
              <w:rPr>
                <w:noProof/>
              </w:rPr>
              <w:t>3</w:t>
            </w:r>
            <w:r w:rsidR="0073388F" w:rsidRPr="00CE31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BB" w:rsidRDefault="008D13BB" w:rsidP="00682233">
      <w:pPr>
        <w:spacing w:before="0" w:after="0"/>
      </w:pPr>
      <w:r>
        <w:separator/>
      </w:r>
    </w:p>
  </w:footnote>
  <w:footnote w:type="continuationSeparator" w:id="0">
    <w:p w:rsidR="008D13BB" w:rsidRDefault="008D13BB" w:rsidP="006822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0B" w:rsidRPr="00F410C9" w:rsidRDefault="00FB1B0B" w:rsidP="00682233">
    <w:pPr>
      <w:pStyle w:val="Header"/>
      <w:jc w:val="center"/>
      <w:rPr>
        <w:sz w:val="24"/>
        <w:szCs w:val="24"/>
      </w:rPr>
    </w:pPr>
    <w:r w:rsidRPr="00CE3123">
      <w:rPr>
        <w:b/>
        <w:bCs/>
        <w:color w:val="237990"/>
        <w:sz w:val="28"/>
        <w:szCs w:val="28"/>
      </w:rPr>
      <w:t xml:space="preserve">Commodity Management Staff Functions </w:t>
    </w:r>
    <w:r w:rsidR="001603C1">
      <w:rPr>
        <w:b/>
        <w:bCs/>
        <w:color w:val="237990"/>
        <w:sz w:val="28"/>
        <w:szCs w:val="28"/>
      </w:rPr>
      <w:t>and</w:t>
    </w:r>
    <w:r w:rsidRPr="00CE3123">
      <w:rPr>
        <w:b/>
        <w:bCs/>
        <w:color w:val="237990"/>
        <w:sz w:val="28"/>
        <w:szCs w:val="28"/>
      </w:rPr>
      <w:t xml:space="preserve"> Responsibilities</w:t>
    </w:r>
    <w:r w:rsidR="00624A6F" w:rsidRPr="00CE3123">
      <w:rPr>
        <w:b/>
        <w:bCs/>
        <w:color w:val="237990"/>
        <w:sz w:val="28"/>
        <w:szCs w:val="28"/>
      </w:rPr>
      <w:t xml:space="preserve"> </w:t>
    </w:r>
    <w:r w:rsidR="00715E4E" w:rsidRPr="00CE3123">
      <w:rPr>
        <w:rFonts w:cs="OfficinaSans-Bold"/>
        <w:b/>
        <w:bCs/>
        <w:color w:val="237990"/>
        <w:sz w:val="28"/>
        <w:szCs w:val="28"/>
        <w:lang w:val="en-GB" w:eastAsia="en-GB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ADB"/>
    <w:multiLevelType w:val="hybridMultilevel"/>
    <w:tmpl w:val="28A0F7F4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1E4"/>
    <w:multiLevelType w:val="hybridMultilevel"/>
    <w:tmpl w:val="C37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638"/>
    <w:multiLevelType w:val="hybridMultilevel"/>
    <w:tmpl w:val="4ACA9BDE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10A86"/>
    <w:multiLevelType w:val="hybridMultilevel"/>
    <w:tmpl w:val="30C43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57D29"/>
    <w:multiLevelType w:val="hybridMultilevel"/>
    <w:tmpl w:val="D84EDD3C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61927"/>
    <w:multiLevelType w:val="hybridMultilevel"/>
    <w:tmpl w:val="979A86F8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C4F"/>
    <w:multiLevelType w:val="multilevel"/>
    <w:tmpl w:val="42C029C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5F7F2B"/>
    <w:multiLevelType w:val="hybridMultilevel"/>
    <w:tmpl w:val="E2A80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1C"/>
    <w:multiLevelType w:val="hybridMultilevel"/>
    <w:tmpl w:val="88D001D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683"/>
    <w:multiLevelType w:val="hybridMultilevel"/>
    <w:tmpl w:val="DC38F106"/>
    <w:lvl w:ilvl="0" w:tplc="A726E30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736"/>
    <w:multiLevelType w:val="hybridMultilevel"/>
    <w:tmpl w:val="4C247C7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8F6"/>
    <w:multiLevelType w:val="multilevel"/>
    <w:tmpl w:val="D4E26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133062"/>
    <w:multiLevelType w:val="hybridMultilevel"/>
    <w:tmpl w:val="C37E301E"/>
    <w:lvl w:ilvl="0" w:tplc="57EC91C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57167"/>
    <w:multiLevelType w:val="hybridMultilevel"/>
    <w:tmpl w:val="A4D4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340A3"/>
    <w:multiLevelType w:val="multilevel"/>
    <w:tmpl w:val="20C22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722D2B"/>
    <w:multiLevelType w:val="multilevel"/>
    <w:tmpl w:val="487074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D90B11"/>
    <w:multiLevelType w:val="hybridMultilevel"/>
    <w:tmpl w:val="75469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216A4"/>
    <w:multiLevelType w:val="hybridMultilevel"/>
    <w:tmpl w:val="845E80DA"/>
    <w:lvl w:ilvl="0" w:tplc="A726E30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8F38FE4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585C"/>
    <w:multiLevelType w:val="hybridMultilevel"/>
    <w:tmpl w:val="FE4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2743"/>
    <w:multiLevelType w:val="hybridMultilevel"/>
    <w:tmpl w:val="F7CA86C6"/>
    <w:lvl w:ilvl="0" w:tplc="B79A129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419EB"/>
    <w:multiLevelType w:val="hybridMultilevel"/>
    <w:tmpl w:val="DE6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17A1"/>
    <w:multiLevelType w:val="hybridMultilevel"/>
    <w:tmpl w:val="A3AA313A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452B"/>
    <w:multiLevelType w:val="hybridMultilevel"/>
    <w:tmpl w:val="8EA49E70"/>
    <w:lvl w:ilvl="0" w:tplc="E80221C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b/>
        <w:i w:val="0"/>
        <w:sz w:val="28"/>
        <w:szCs w:val="28"/>
      </w:rPr>
    </w:lvl>
    <w:lvl w:ilvl="1" w:tplc="3C72390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966957"/>
    <w:multiLevelType w:val="multilevel"/>
    <w:tmpl w:val="E9168F2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3E0435B"/>
    <w:multiLevelType w:val="hybridMultilevel"/>
    <w:tmpl w:val="71E2580E"/>
    <w:lvl w:ilvl="0" w:tplc="A3627D2A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color w:val="auto"/>
      </w:rPr>
    </w:lvl>
    <w:lvl w:ilvl="1" w:tplc="418016BC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F01"/>
    <w:multiLevelType w:val="multilevel"/>
    <w:tmpl w:val="D4E26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A13C32"/>
    <w:multiLevelType w:val="hybridMultilevel"/>
    <w:tmpl w:val="22463058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A1BC5"/>
    <w:multiLevelType w:val="hybridMultilevel"/>
    <w:tmpl w:val="182213AA"/>
    <w:lvl w:ilvl="0" w:tplc="57EC91C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60F4C"/>
    <w:multiLevelType w:val="multilevel"/>
    <w:tmpl w:val="EED85C9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D6A1D59"/>
    <w:multiLevelType w:val="hybridMultilevel"/>
    <w:tmpl w:val="1D2A4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C40DD4"/>
    <w:multiLevelType w:val="hybridMultilevel"/>
    <w:tmpl w:val="82AA4DE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30"/>
  </w:num>
  <w:num w:numId="7">
    <w:abstractNumId w:val="24"/>
  </w:num>
  <w:num w:numId="8">
    <w:abstractNumId w:val="22"/>
  </w:num>
  <w:num w:numId="9">
    <w:abstractNumId w:val="9"/>
  </w:num>
  <w:num w:numId="10">
    <w:abstractNumId w:val="17"/>
  </w:num>
  <w:num w:numId="11">
    <w:abstractNumId w:val="18"/>
  </w:num>
  <w:num w:numId="12">
    <w:abstractNumId w:val="13"/>
  </w:num>
  <w:num w:numId="13">
    <w:abstractNumId w:val="1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25"/>
  </w:num>
  <w:num w:numId="19">
    <w:abstractNumId w:val="11"/>
  </w:num>
  <w:num w:numId="20">
    <w:abstractNumId w:val="23"/>
  </w:num>
  <w:num w:numId="21">
    <w:abstractNumId w:val="5"/>
  </w:num>
  <w:num w:numId="22">
    <w:abstractNumId w:val="27"/>
  </w:num>
  <w:num w:numId="23">
    <w:abstractNumId w:val="12"/>
  </w:num>
  <w:num w:numId="24">
    <w:abstractNumId w:val="4"/>
  </w:num>
  <w:num w:numId="25">
    <w:abstractNumId w:val="2"/>
  </w:num>
  <w:num w:numId="26">
    <w:abstractNumId w:val="28"/>
  </w:num>
  <w:num w:numId="27">
    <w:abstractNumId w:val="6"/>
  </w:num>
  <w:num w:numId="28">
    <w:abstractNumId w:val="29"/>
  </w:num>
  <w:num w:numId="29">
    <w:abstractNumId w:val="19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F95"/>
    <w:rsid w:val="00026341"/>
    <w:rsid w:val="000335CA"/>
    <w:rsid w:val="00033F95"/>
    <w:rsid w:val="00043D0E"/>
    <w:rsid w:val="00045546"/>
    <w:rsid w:val="00047ADE"/>
    <w:rsid w:val="00054224"/>
    <w:rsid w:val="00066BCB"/>
    <w:rsid w:val="0006775D"/>
    <w:rsid w:val="00082C24"/>
    <w:rsid w:val="000B75D5"/>
    <w:rsid w:val="000C334A"/>
    <w:rsid w:val="000F2701"/>
    <w:rsid w:val="0012001E"/>
    <w:rsid w:val="00142C8E"/>
    <w:rsid w:val="001603C1"/>
    <w:rsid w:val="00165D64"/>
    <w:rsid w:val="001C5E2D"/>
    <w:rsid w:val="00222B02"/>
    <w:rsid w:val="002243F3"/>
    <w:rsid w:val="002305AD"/>
    <w:rsid w:val="00230F56"/>
    <w:rsid w:val="002755F3"/>
    <w:rsid w:val="002C2FB8"/>
    <w:rsid w:val="002D63B7"/>
    <w:rsid w:val="002E0D1A"/>
    <w:rsid w:val="002F762A"/>
    <w:rsid w:val="00323B68"/>
    <w:rsid w:val="00341B54"/>
    <w:rsid w:val="00371343"/>
    <w:rsid w:val="0038309F"/>
    <w:rsid w:val="003A2866"/>
    <w:rsid w:val="003B3554"/>
    <w:rsid w:val="003B3881"/>
    <w:rsid w:val="003F346E"/>
    <w:rsid w:val="003F7619"/>
    <w:rsid w:val="00404A18"/>
    <w:rsid w:val="00407BBC"/>
    <w:rsid w:val="004405D6"/>
    <w:rsid w:val="00450554"/>
    <w:rsid w:val="00454209"/>
    <w:rsid w:val="004543E4"/>
    <w:rsid w:val="00455285"/>
    <w:rsid w:val="00455F31"/>
    <w:rsid w:val="004E103B"/>
    <w:rsid w:val="005068ED"/>
    <w:rsid w:val="00515B73"/>
    <w:rsid w:val="00555014"/>
    <w:rsid w:val="00563058"/>
    <w:rsid w:val="005973F1"/>
    <w:rsid w:val="005B721B"/>
    <w:rsid w:val="006219D9"/>
    <w:rsid w:val="00624A6F"/>
    <w:rsid w:val="00643ECE"/>
    <w:rsid w:val="00664753"/>
    <w:rsid w:val="00682233"/>
    <w:rsid w:val="00684D40"/>
    <w:rsid w:val="006857FF"/>
    <w:rsid w:val="006D3B4D"/>
    <w:rsid w:val="00715E4E"/>
    <w:rsid w:val="00721330"/>
    <w:rsid w:val="00732D09"/>
    <w:rsid w:val="0073323C"/>
    <w:rsid w:val="0073388F"/>
    <w:rsid w:val="0074122E"/>
    <w:rsid w:val="00742454"/>
    <w:rsid w:val="00755D19"/>
    <w:rsid w:val="00766004"/>
    <w:rsid w:val="007A3C60"/>
    <w:rsid w:val="007E68CD"/>
    <w:rsid w:val="008561C3"/>
    <w:rsid w:val="00862910"/>
    <w:rsid w:val="00890590"/>
    <w:rsid w:val="008944B1"/>
    <w:rsid w:val="008B7BBF"/>
    <w:rsid w:val="008D13BB"/>
    <w:rsid w:val="008D169A"/>
    <w:rsid w:val="009046DB"/>
    <w:rsid w:val="00915312"/>
    <w:rsid w:val="009409CA"/>
    <w:rsid w:val="00975D70"/>
    <w:rsid w:val="00976192"/>
    <w:rsid w:val="009D47C4"/>
    <w:rsid w:val="009E4911"/>
    <w:rsid w:val="009F04AD"/>
    <w:rsid w:val="00A16626"/>
    <w:rsid w:val="00A259C6"/>
    <w:rsid w:val="00A61817"/>
    <w:rsid w:val="00B36F5F"/>
    <w:rsid w:val="00B54858"/>
    <w:rsid w:val="00B95262"/>
    <w:rsid w:val="00BA4D85"/>
    <w:rsid w:val="00C16EAD"/>
    <w:rsid w:val="00CA502F"/>
    <w:rsid w:val="00CB6DA0"/>
    <w:rsid w:val="00CC693D"/>
    <w:rsid w:val="00CD3FD4"/>
    <w:rsid w:val="00CE3123"/>
    <w:rsid w:val="00CF4155"/>
    <w:rsid w:val="00CF6EA5"/>
    <w:rsid w:val="00D57C00"/>
    <w:rsid w:val="00D7245B"/>
    <w:rsid w:val="00DD21E4"/>
    <w:rsid w:val="00E24A1E"/>
    <w:rsid w:val="00E350AC"/>
    <w:rsid w:val="00E35733"/>
    <w:rsid w:val="00E36599"/>
    <w:rsid w:val="00E90FF2"/>
    <w:rsid w:val="00EB1493"/>
    <w:rsid w:val="00F174B0"/>
    <w:rsid w:val="00F410C9"/>
    <w:rsid w:val="00F858FF"/>
    <w:rsid w:val="00FB1B0B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D230"/>
  <w15:docId w15:val="{AE79C6B3-1E8D-4958-A11D-F3F041C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95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30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E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3ECE"/>
  </w:style>
  <w:style w:type="paragraph" w:styleId="Footer">
    <w:name w:val="footer"/>
    <w:basedOn w:val="Normal"/>
    <w:link w:val="FooterChar"/>
    <w:uiPriority w:val="99"/>
    <w:unhideWhenUsed/>
    <w:rsid w:val="00643E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3ECE"/>
  </w:style>
  <w:style w:type="paragraph" w:styleId="ListParagraph">
    <w:name w:val="List Paragraph"/>
    <w:basedOn w:val="Normal"/>
    <w:uiPriority w:val="34"/>
    <w:qFormat/>
    <w:rsid w:val="00643ECE"/>
    <w:pPr>
      <w:ind w:left="720"/>
      <w:contextualSpacing/>
    </w:pPr>
  </w:style>
  <w:style w:type="table" w:styleId="TableGrid">
    <w:name w:val="Table Grid"/>
    <w:basedOn w:val="TableNormal"/>
    <w:uiPriority w:val="59"/>
    <w:rsid w:val="0055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2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2016-06-05T12:56:00Z</cp:lastPrinted>
  <dcterms:created xsi:type="dcterms:W3CDTF">2017-03-14T14:02:00Z</dcterms:created>
  <dcterms:modified xsi:type="dcterms:W3CDTF">2017-03-14T14:02:00Z</dcterms:modified>
</cp:coreProperties>
</file>